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0E727" w14:textId="6E5D122C" w:rsidR="00E95628" w:rsidRDefault="004759AF">
      <w:pPr>
        <w:spacing w:line="360" w:lineRule="auto"/>
        <w:jc w:val="center"/>
        <w:rPr>
          <w:b/>
          <w:sz w:val="28"/>
        </w:rPr>
      </w:pPr>
      <w:r>
        <w:rPr>
          <w:b/>
          <w:sz w:val="28"/>
        </w:rPr>
        <w:t xml:space="preserve">APMP-APAC joint PT (APAC </w:t>
      </w:r>
      <w:r w:rsidRPr="00C4721A">
        <w:rPr>
          <w:b/>
          <w:sz w:val="28"/>
        </w:rPr>
        <w:t>T</w:t>
      </w:r>
      <w:r w:rsidR="00C4721A">
        <w:rPr>
          <w:b/>
          <w:sz w:val="28"/>
        </w:rPr>
        <w:t>112</w:t>
      </w:r>
      <w:r>
        <w:rPr>
          <w:b/>
          <w:sz w:val="28"/>
        </w:rPr>
        <w:t>)</w:t>
      </w:r>
    </w:p>
    <w:p w14:paraId="6E62EAAD" w14:textId="77777777" w:rsidR="00FE4B5A" w:rsidRDefault="004759AF">
      <w:pPr>
        <w:pStyle w:val="aa"/>
        <w:spacing w:line="360" w:lineRule="auto"/>
        <w:jc w:val="center"/>
        <w:rPr>
          <w:kern w:val="2"/>
          <w:sz w:val="28"/>
          <w:szCs w:val="24"/>
          <w:lang w:val="en-US" w:eastAsia="zh-CN"/>
        </w:rPr>
      </w:pPr>
      <w:r>
        <w:rPr>
          <w:kern w:val="2"/>
          <w:sz w:val="28"/>
          <w:szCs w:val="24"/>
          <w:lang w:val="en-US" w:eastAsia="zh-CN"/>
        </w:rPr>
        <w:t>Non-polar analyte</w:t>
      </w:r>
      <w:r>
        <w:rPr>
          <w:rFonts w:hint="eastAsia"/>
          <w:kern w:val="2"/>
          <w:sz w:val="28"/>
          <w:szCs w:val="24"/>
          <w:lang w:val="en-US" w:eastAsia="zh-CN"/>
        </w:rPr>
        <w:t>s</w:t>
      </w:r>
      <w:r>
        <w:rPr>
          <w:kern w:val="2"/>
          <w:sz w:val="28"/>
          <w:szCs w:val="24"/>
          <w:lang w:val="en-US" w:eastAsia="zh-CN"/>
        </w:rPr>
        <w:t xml:space="preserve"> in high carbohydrate food matrix: </w:t>
      </w:r>
    </w:p>
    <w:p w14:paraId="00B08017" w14:textId="0080F5D0" w:rsidR="00E95628" w:rsidRDefault="004759AF">
      <w:pPr>
        <w:pStyle w:val="aa"/>
        <w:spacing w:line="360" w:lineRule="auto"/>
        <w:jc w:val="center"/>
        <w:rPr>
          <w:kern w:val="2"/>
          <w:sz w:val="28"/>
          <w:szCs w:val="24"/>
          <w:lang w:val="en-US" w:eastAsia="zh-CN"/>
        </w:rPr>
      </w:pPr>
      <w:r>
        <w:rPr>
          <w:kern w:val="2"/>
          <w:sz w:val="28"/>
          <w:szCs w:val="24"/>
          <w:lang w:val="en-US" w:eastAsia="zh-CN"/>
        </w:rPr>
        <w:t>trans-Zearalenone in Maize Powder</w:t>
      </w:r>
    </w:p>
    <w:p w14:paraId="0E2E9952" w14:textId="77777777" w:rsidR="00E95628" w:rsidRDefault="00E95628">
      <w:pPr>
        <w:pStyle w:val="aa"/>
        <w:spacing w:line="360" w:lineRule="auto"/>
        <w:jc w:val="center"/>
        <w:rPr>
          <w:kern w:val="2"/>
          <w:sz w:val="28"/>
          <w:szCs w:val="24"/>
          <w:lang w:val="en-US" w:eastAsia="zh-CN"/>
        </w:rPr>
      </w:pPr>
    </w:p>
    <w:p w14:paraId="2CBCA3A7" w14:textId="77777777" w:rsidR="00E95628" w:rsidRDefault="004759AF">
      <w:pPr>
        <w:pStyle w:val="aa"/>
        <w:spacing w:line="360" w:lineRule="auto"/>
        <w:jc w:val="center"/>
      </w:pPr>
      <w:r>
        <w:rPr>
          <w:rFonts w:hint="eastAsia"/>
        </w:rPr>
        <w:t>（</w:t>
      </w:r>
      <w:r>
        <w:rPr>
          <w:rFonts w:hint="eastAsia"/>
        </w:rPr>
        <w:t xml:space="preserve">Coordinated by </w:t>
      </w:r>
      <w:r>
        <w:t xml:space="preserve">National Institute of Metrology, China </w:t>
      </w:r>
      <w:r>
        <w:rPr>
          <w:rFonts w:hint="eastAsia"/>
        </w:rPr>
        <w:t>NIM</w:t>
      </w:r>
      <w:r>
        <w:rPr>
          <w:rFonts w:hint="eastAsia"/>
        </w:rPr>
        <w:t>）</w:t>
      </w:r>
      <w:bookmarkStart w:id="0" w:name="_GoBack"/>
      <w:bookmarkEnd w:id="0"/>
    </w:p>
    <w:p w14:paraId="5BDEF9DF" w14:textId="77777777" w:rsidR="00E95628" w:rsidRDefault="00E95628">
      <w:pPr>
        <w:pStyle w:val="aa"/>
        <w:spacing w:line="360" w:lineRule="auto"/>
        <w:jc w:val="center"/>
      </w:pPr>
    </w:p>
    <w:p w14:paraId="1424CB0D" w14:textId="77777777" w:rsidR="00E95628" w:rsidRDefault="004759AF">
      <w:pPr>
        <w:pStyle w:val="aa"/>
        <w:spacing w:line="360" w:lineRule="auto"/>
        <w:jc w:val="center"/>
      </w:pPr>
      <w:r>
        <w:rPr>
          <w:rFonts w:hint="eastAsia"/>
        </w:rPr>
        <w:t xml:space="preserve">Technical </w:t>
      </w:r>
      <w:r>
        <w:t>Protocol</w:t>
      </w:r>
    </w:p>
    <w:p w14:paraId="628E6439" w14:textId="77777777" w:rsidR="00E95628" w:rsidRDefault="00E95628">
      <w:pPr>
        <w:pStyle w:val="aa"/>
        <w:spacing w:line="360" w:lineRule="auto"/>
      </w:pPr>
    </w:p>
    <w:p w14:paraId="0BA7C8E2" w14:textId="77777777" w:rsidR="00E95628" w:rsidRDefault="004759AF">
      <w:pPr>
        <w:spacing w:beforeLines="50" w:before="120" w:afterLines="50" w:after="120" w:line="360" w:lineRule="auto"/>
        <w:rPr>
          <w:b/>
          <w:sz w:val="24"/>
        </w:rPr>
      </w:pPr>
      <w:r>
        <w:rPr>
          <w:b/>
          <w:sz w:val="24"/>
        </w:rPr>
        <w:t>Introduction</w:t>
      </w:r>
    </w:p>
    <w:p w14:paraId="3ED24857" w14:textId="4E3890DE" w:rsidR="00E95628" w:rsidRDefault="004759AF">
      <w:pPr>
        <w:spacing w:afterLines="50" w:after="120" w:line="360" w:lineRule="auto"/>
        <w:rPr>
          <w:kern w:val="0"/>
          <w:sz w:val="24"/>
        </w:rPr>
      </w:pPr>
      <w:r>
        <w:rPr>
          <w:bCs/>
          <w:sz w:val="24"/>
        </w:rPr>
        <w:t>Zearalenone (ZEN) is a fungal mycotoxin produced by Fusarium spp. and present in several types of food</w:t>
      </w:r>
      <w:r>
        <w:rPr>
          <w:rFonts w:hint="eastAsia"/>
          <w:bCs/>
          <w:sz w:val="24"/>
        </w:rPr>
        <w:t xml:space="preserve">, </w:t>
      </w:r>
      <w:r>
        <w:rPr>
          <w:bCs/>
          <w:sz w:val="24"/>
        </w:rPr>
        <w:t xml:space="preserve">especially in maize and </w:t>
      </w:r>
      <w:r w:rsidRPr="00936797">
        <w:rPr>
          <w:bCs/>
          <w:sz w:val="24"/>
        </w:rPr>
        <w:t>wheat</w:t>
      </w:r>
      <w:r>
        <w:rPr>
          <w:bCs/>
          <w:sz w:val="24"/>
        </w:rPr>
        <w:t xml:space="preserve">. It is a non-steroid estrogenic compound which </w:t>
      </w:r>
      <w:r>
        <w:rPr>
          <w:rFonts w:hint="eastAsia"/>
          <w:bCs/>
          <w:sz w:val="24"/>
        </w:rPr>
        <w:t>may</w:t>
      </w:r>
      <w:r>
        <w:rPr>
          <w:bCs/>
          <w:sz w:val="24"/>
        </w:rPr>
        <w:t xml:space="preserve"> cause changes in reproductive organs</w:t>
      </w:r>
      <w:r>
        <w:rPr>
          <w:rFonts w:hint="eastAsia"/>
          <w:bCs/>
          <w:sz w:val="24"/>
        </w:rPr>
        <w:t xml:space="preserve">, </w:t>
      </w:r>
      <w:r>
        <w:rPr>
          <w:bCs/>
          <w:sz w:val="24"/>
        </w:rPr>
        <w:t>fertility loss and several other toxic effects. Zearalenone analysi</w:t>
      </w:r>
      <w:r>
        <w:rPr>
          <w:rFonts w:hint="eastAsia"/>
          <w:bCs/>
          <w:sz w:val="24"/>
        </w:rPr>
        <w:t>s</w:t>
      </w:r>
      <w:r>
        <w:rPr>
          <w:bCs/>
          <w:sz w:val="24"/>
        </w:rPr>
        <w:t xml:space="preserve"> </w:t>
      </w:r>
      <w:r>
        <w:rPr>
          <w:rFonts w:hint="eastAsia"/>
          <w:bCs/>
          <w:sz w:val="24"/>
        </w:rPr>
        <w:t>is</w:t>
      </w:r>
      <w:r>
        <w:rPr>
          <w:bCs/>
          <w:sz w:val="24"/>
        </w:rPr>
        <w:t xml:space="preserve"> a matter of health and food safety for many countries around the </w:t>
      </w:r>
      <w:r>
        <w:rPr>
          <w:rFonts w:hint="eastAsia"/>
          <w:bCs/>
          <w:sz w:val="24"/>
        </w:rPr>
        <w:t>world, especially those with high</w:t>
      </w:r>
      <w:r>
        <w:rPr>
          <w:bCs/>
          <w:sz w:val="24"/>
        </w:rPr>
        <w:t xml:space="preserve"> produc</w:t>
      </w:r>
      <w:r>
        <w:rPr>
          <w:rFonts w:hint="eastAsia"/>
          <w:bCs/>
          <w:sz w:val="24"/>
        </w:rPr>
        <w:t>tion</w:t>
      </w:r>
      <w:r>
        <w:rPr>
          <w:bCs/>
          <w:sz w:val="24"/>
        </w:rPr>
        <w:t xml:space="preserve"> or consum</w:t>
      </w:r>
      <w:r>
        <w:rPr>
          <w:rFonts w:hint="eastAsia"/>
          <w:bCs/>
          <w:sz w:val="24"/>
        </w:rPr>
        <w:t>ption</w:t>
      </w:r>
      <w:r>
        <w:rPr>
          <w:bCs/>
          <w:sz w:val="24"/>
        </w:rPr>
        <w:t xml:space="preserve"> of corn grains and wheat.</w:t>
      </w:r>
      <w:r>
        <w:t xml:space="preserve"> </w:t>
      </w:r>
      <w:r>
        <w:rPr>
          <w:kern w:val="0"/>
          <w:sz w:val="24"/>
        </w:rPr>
        <w:t xml:space="preserve">Worldwide regulatory limits of </w:t>
      </w:r>
      <w:bookmarkStart w:id="1" w:name="_Hlk13579672"/>
      <w:r>
        <w:rPr>
          <w:kern w:val="0"/>
          <w:sz w:val="24"/>
        </w:rPr>
        <w:t>ZEN in maize</w:t>
      </w:r>
      <w:bookmarkEnd w:id="1"/>
      <w:r>
        <w:rPr>
          <w:kern w:val="0"/>
          <w:sz w:val="24"/>
        </w:rPr>
        <w:t xml:space="preserve"> and its products are from 20 μg/kg to 350 μg/kg. </w:t>
      </w:r>
    </w:p>
    <w:p w14:paraId="242DFAF6" w14:textId="0B8B5490" w:rsidR="00E95628" w:rsidRDefault="004759AF">
      <w:pPr>
        <w:spacing w:afterLines="50" w:after="120" w:line="360" w:lineRule="auto"/>
        <w:rPr>
          <w:bCs/>
          <w:sz w:val="24"/>
        </w:rPr>
      </w:pPr>
      <w:r>
        <w:rPr>
          <w:bCs/>
          <w:sz w:val="24"/>
        </w:rPr>
        <w:t>Testing of the core competencies of laboratories that deliver measurement services of non-polarity analytes and low mass fraction of analyte (III &gt;1</w:t>
      </w:r>
      <w:r>
        <w:rPr>
          <w:rFonts w:ascii="宋体" w:hAnsi="宋体" w:hint="eastAsia"/>
          <w:bCs/>
          <w:sz w:val="24"/>
        </w:rPr>
        <w:t>µ</w:t>
      </w:r>
      <w:r>
        <w:rPr>
          <w:bCs/>
          <w:sz w:val="24"/>
        </w:rPr>
        <w:t>g/kg, &lt;1mg/kg) in high carbohydrate food material has not been covered for many years. A</w:t>
      </w:r>
      <w:r>
        <w:rPr>
          <w:rFonts w:hint="eastAsia"/>
          <w:bCs/>
          <w:sz w:val="24"/>
        </w:rPr>
        <w:t>n a</w:t>
      </w:r>
      <w:r>
        <w:rPr>
          <w:bCs/>
          <w:sz w:val="24"/>
        </w:rPr>
        <w:t xml:space="preserve">greement was </w:t>
      </w:r>
      <w:r>
        <w:rPr>
          <w:rFonts w:hint="eastAsia"/>
          <w:bCs/>
          <w:sz w:val="24"/>
        </w:rPr>
        <w:t>reached</w:t>
      </w:r>
      <w:r>
        <w:rPr>
          <w:bCs/>
          <w:sz w:val="24"/>
        </w:rPr>
        <w:t xml:space="preserve"> </w:t>
      </w:r>
      <w:r>
        <w:rPr>
          <w:rFonts w:hint="eastAsia"/>
          <w:bCs/>
          <w:sz w:val="24"/>
        </w:rPr>
        <w:t>at</w:t>
      </w:r>
      <w:r>
        <w:rPr>
          <w:bCs/>
          <w:sz w:val="24"/>
        </w:rPr>
        <w:t xml:space="preserve"> the OAWG</w:t>
      </w:r>
      <w:r>
        <w:rPr>
          <w:rFonts w:hint="eastAsia"/>
          <w:bCs/>
          <w:sz w:val="24"/>
        </w:rPr>
        <w:t xml:space="preserve"> meeting held in </w:t>
      </w:r>
      <w:r>
        <w:rPr>
          <w:bCs/>
          <w:sz w:val="24"/>
        </w:rPr>
        <w:t>October 2019</w:t>
      </w:r>
      <w:r>
        <w:rPr>
          <w:rFonts w:hint="eastAsia"/>
          <w:bCs/>
          <w:sz w:val="24"/>
        </w:rPr>
        <w:t xml:space="preserve"> </w:t>
      </w:r>
      <w:r>
        <w:rPr>
          <w:bCs/>
          <w:sz w:val="24"/>
        </w:rPr>
        <w:t xml:space="preserve">in Italy to conduct the trans-zearalenone in maize as the next Track A matrix comparison. This comparison fits into the 10-year strategy for the </w:t>
      </w:r>
      <w:r w:rsidR="0094222F">
        <w:rPr>
          <w:bCs/>
          <w:sz w:val="24"/>
        </w:rPr>
        <w:t xml:space="preserve">CCQM </w:t>
      </w:r>
      <w:r>
        <w:rPr>
          <w:bCs/>
          <w:sz w:val="24"/>
        </w:rPr>
        <w:t xml:space="preserve">OAWG Track A comparisons which covers a range of different types of food matrices which map against the different types of capabilities needed.  </w:t>
      </w:r>
    </w:p>
    <w:p w14:paraId="1301828A" w14:textId="797035D3" w:rsidR="00E95628" w:rsidRDefault="004759AF">
      <w:pPr>
        <w:spacing w:afterLines="50" w:after="120" w:line="360" w:lineRule="auto"/>
        <w:rPr>
          <w:bCs/>
          <w:sz w:val="24"/>
        </w:rPr>
      </w:pPr>
      <w:r>
        <w:rPr>
          <w:bCs/>
          <w:sz w:val="24"/>
        </w:rPr>
        <w:t>This APMP-APAC Joint Proficiency Testing Programme (Non-polar analytes in high carbohydrate food matrix: trans-Zearalenone in Maize Powder) is coordinated by the National Institute of Metrology, China (NIM). It will be run in parallel with key comparison CCQM-K1</w:t>
      </w:r>
      <w:r>
        <w:rPr>
          <w:rFonts w:hint="eastAsia"/>
          <w:bCs/>
          <w:sz w:val="24"/>
        </w:rPr>
        <w:t>68</w:t>
      </w:r>
      <w:r w:rsidR="0094222F">
        <w:rPr>
          <w:bCs/>
          <w:sz w:val="24"/>
        </w:rPr>
        <w:t xml:space="preserve"> of B</w:t>
      </w:r>
      <w:r w:rsidR="0094222F">
        <w:rPr>
          <w:rFonts w:hint="eastAsia"/>
          <w:bCs/>
          <w:sz w:val="24"/>
        </w:rPr>
        <w:t>ureau</w:t>
      </w:r>
      <w:r w:rsidR="0094222F">
        <w:rPr>
          <w:bCs/>
          <w:sz w:val="24"/>
        </w:rPr>
        <w:t xml:space="preserve"> International des Poids et Mesures (BIPM)</w:t>
      </w:r>
      <w:r>
        <w:rPr>
          <w:bCs/>
          <w:sz w:val="24"/>
        </w:rPr>
        <w:t>, assist</w:t>
      </w:r>
      <w:r>
        <w:rPr>
          <w:rFonts w:hint="eastAsia"/>
          <w:bCs/>
          <w:sz w:val="24"/>
        </w:rPr>
        <w:t>ing</w:t>
      </w:r>
      <w:r>
        <w:rPr>
          <w:bCs/>
          <w:sz w:val="24"/>
        </w:rPr>
        <w:t xml:space="preserve"> in building the measurement capabilities of analytical field laboratories through better linkages between the NMIs/DIs worldwide and the PT participants.</w:t>
      </w:r>
    </w:p>
    <w:p w14:paraId="3BF9B370" w14:textId="77777777" w:rsidR="00E95628" w:rsidRDefault="00E95628">
      <w:pPr>
        <w:autoSpaceDE w:val="0"/>
        <w:autoSpaceDN w:val="0"/>
        <w:adjustRightInd w:val="0"/>
        <w:spacing w:line="360" w:lineRule="auto"/>
        <w:rPr>
          <w:iCs/>
          <w:color w:val="000000"/>
          <w:sz w:val="24"/>
          <w:lang w:eastAsia="en-CA"/>
        </w:rPr>
      </w:pPr>
    </w:p>
    <w:p w14:paraId="75659837" w14:textId="77777777" w:rsidR="00E95628" w:rsidRDefault="004759AF">
      <w:pPr>
        <w:autoSpaceDE w:val="0"/>
        <w:autoSpaceDN w:val="0"/>
        <w:adjustRightInd w:val="0"/>
        <w:spacing w:beforeLines="100" w:before="240" w:afterLines="50" w:after="120" w:line="360" w:lineRule="auto"/>
        <w:rPr>
          <w:iCs/>
          <w:color w:val="000000"/>
          <w:sz w:val="24"/>
          <w:lang w:eastAsia="en-CA"/>
        </w:rPr>
      </w:pPr>
      <w:r>
        <w:rPr>
          <w:b/>
          <w:iCs/>
          <w:color w:val="000000"/>
          <w:sz w:val="24"/>
          <w:lang w:eastAsia="en-CA"/>
        </w:rPr>
        <w:lastRenderedPageBreak/>
        <w:t>Study Material</w:t>
      </w:r>
    </w:p>
    <w:p w14:paraId="558D6F97" w14:textId="3D194A4E" w:rsidR="00E95628" w:rsidRDefault="004759AF">
      <w:pPr>
        <w:autoSpaceDE w:val="0"/>
        <w:autoSpaceDN w:val="0"/>
        <w:adjustRightInd w:val="0"/>
        <w:spacing w:line="360" w:lineRule="auto"/>
        <w:rPr>
          <w:b/>
        </w:rPr>
      </w:pPr>
      <w:r>
        <w:rPr>
          <w:iCs/>
          <w:color w:val="000000"/>
          <w:sz w:val="24"/>
          <w:lang w:eastAsia="en-CA"/>
        </w:rPr>
        <w:t>The matrix, maize, is a high carbohydrate and low protein, low fat matrix that falls within Sector 5 of the AOAC International foo</w:t>
      </w:r>
      <w:r w:rsidRPr="00284D8E">
        <w:rPr>
          <w:iCs/>
          <w:color w:val="000000"/>
          <w:sz w:val="24"/>
          <w:lang w:eastAsia="en-CA"/>
        </w:rPr>
        <w:t>d triangle. Maize material was screened from a local supermarket, and pulverized</w:t>
      </w:r>
      <w:r w:rsidRPr="00284D8E">
        <w:rPr>
          <w:rFonts w:hint="eastAsia"/>
          <w:iCs/>
          <w:color w:val="000000"/>
          <w:sz w:val="24"/>
        </w:rPr>
        <w:t>,</w:t>
      </w:r>
      <w:r w:rsidRPr="00284D8E">
        <w:rPr>
          <w:iCs/>
          <w:color w:val="000000"/>
          <w:sz w:val="24"/>
        </w:rPr>
        <w:t xml:space="preserve"> </w:t>
      </w:r>
      <w:r w:rsidRPr="00284D8E">
        <w:rPr>
          <w:rFonts w:hint="eastAsia"/>
          <w:iCs/>
          <w:color w:val="000000"/>
          <w:sz w:val="24"/>
        </w:rPr>
        <w:t>sieved</w:t>
      </w:r>
      <w:r w:rsidRPr="00284D8E">
        <w:rPr>
          <w:iCs/>
          <w:color w:val="000000"/>
          <w:sz w:val="24"/>
          <w:lang w:eastAsia="en-CA"/>
        </w:rPr>
        <w:t xml:space="preserve"> and homogenized at room temperature</w:t>
      </w:r>
      <w:r w:rsidRPr="00284D8E">
        <w:rPr>
          <w:rFonts w:hint="eastAsia"/>
          <w:iCs/>
          <w:color w:val="000000"/>
          <w:sz w:val="24"/>
        </w:rPr>
        <w:t>.</w:t>
      </w:r>
      <w:r w:rsidRPr="00284D8E">
        <w:rPr>
          <w:iCs/>
          <w:color w:val="000000"/>
          <w:sz w:val="24"/>
          <w:lang w:eastAsia="en-CA"/>
        </w:rPr>
        <w:t xml:space="preserve"> </w:t>
      </w:r>
      <w:r w:rsidRPr="00284D8E">
        <w:rPr>
          <w:sz w:val="24"/>
        </w:rPr>
        <w:t xml:space="preserve">The indicative range for the mass fractions of the </w:t>
      </w:r>
      <w:r w:rsidR="00A331B8" w:rsidRPr="00284D8E">
        <w:rPr>
          <w:sz w:val="24"/>
        </w:rPr>
        <w:t>trans-Zearalenone</w:t>
      </w:r>
      <w:r w:rsidRPr="00284D8E">
        <w:rPr>
          <w:rFonts w:hint="eastAsia"/>
          <w:sz w:val="24"/>
        </w:rPr>
        <w:t xml:space="preserve"> is </w:t>
      </w:r>
      <w:r w:rsidRPr="00284D8E">
        <w:rPr>
          <w:sz w:val="24"/>
        </w:rPr>
        <w:t>10-500 μg/kg.</w:t>
      </w:r>
      <w:r w:rsidRPr="00284D8E">
        <w:rPr>
          <w:rFonts w:hint="eastAsia"/>
          <w:sz w:val="24"/>
        </w:rPr>
        <w:t xml:space="preserve"> </w:t>
      </w:r>
      <w:r w:rsidRPr="00284D8E">
        <w:rPr>
          <w:iCs/>
          <w:sz w:val="24"/>
          <w:lang w:eastAsia="en-CA"/>
        </w:rPr>
        <w:t>Aflatoxin B1, Ochratoxin A,</w:t>
      </w:r>
      <w:r w:rsidRPr="00284D8E">
        <w:rPr>
          <w:iCs/>
          <w:sz w:val="24"/>
        </w:rPr>
        <w:t xml:space="preserve"> and </w:t>
      </w:r>
      <w:r w:rsidRPr="00284D8E">
        <w:rPr>
          <w:iCs/>
          <w:sz w:val="24"/>
          <w:lang w:eastAsia="en-CA"/>
        </w:rPr>
        <w:t xml:space="preserve">Fumonisin B1 etc. are also detected in the material as potential interferences. </w:t>
      </w:r>
      <w:r w:rsidRPr="00284D8E">
        <w:rPr>
          <w:iCs/>
          <w:color w:val="000000"/>
          <w:sz w:val="24"/>
          <w:lang w:eastAsia="en-CA"/>
        </w:rPr>
        <w:t xml:space="preserve">The homogenized </w:t>
      </w:r>
      <w:r w:rsidRPr="00284D8E">
        <w:rPr>
          <w:iCs/>
          <w:color w:val="000000"/>
          <w:sz w:val="24"/>
        </w:rPr>
        <w:t>maize powder</w:t>
      </w:r>
      <w:r w:rsidRPr="00284D8E">
        <w:rPr>
          <w:iCs/>
          <w:color w:val="000000"/>
          <w:sz w:val="24"/>
          <w:lang w:eastAsia="en-CA"/>
        </w:rPr>
        <w:t xml:space="preserve"> was separately </w:t>
      </w:r>
      <w:r w:rsidRPr="00284D8E">
        <w:rPr>
          <w:rFonts w:hint="eastAsia"/>
          <w:iCs/>
          <w:color w:val="000000"/>
          <w:sz w:val="24"/>
        </w:rPr>
        <w:t>vacuum</w:t>
      </w:r>
      <w:r w:rsidRPr="00284D8E">
        <w:rPr>
          <w:iCs/>
          <w:color w:val="000000"/>
          <w:sz w:val="24"/>
          <w:lang w:eastAsia="en-CA"/>
        </w:rPr>
        <w:t>-packed in</w:t>
      </w:r>
      <w:r w:rsidRPr="00284D8E">
        <w:rPr>
          <w:iCs/>
          <w:sz w:val="24"/>
          <w:lang w:eastAsia="en-CA"/>
        </w:rPr>
        <w:t xml:space="preserve"> polyethylene bags</w:t>
      </w:r>
      <w:r w:rsidRPr="00284D8E">
        <w:rPr>
          <w:iCs/>
          <w:color w:val="000000"/>
          <w:sz w:val="24"/>
          <w:lang w:eastAsia="en-CA"/>
        </w:rPr>
        <w:t xml:space="preserve"> to give about 500 packets, with content of </w:t>
      </w:r>
      <w:r w:rsidRPr="00284D8E">
        <w:rPr>
          <w:iCs/>
          <w:color w:val="000000"/>
          <w:sz w:val="24"/>
        </w:rPr>
        <w:t>9</w:t>
      </w:r>
      <w:r w:rsidRPr="00284D8E">
        <w:rPr>
          <w:rFonts w:hint="eastAsia"/>
          <w:iCs/>
          <w:color w:val="000000"/>
          <w:sz w:val="24"/>
        </w:rPr>
        <w:t>0</w:t>
      </w:r>
      <w:r w:rsidRPr="00284D8E">
        <w:rPr>
          <w:iCs/>
          <w:color w:val="000000"/>
          <w:sz w:val="24"/>
          <w:lang w:eastAsia="en-CA"/>
        </w:rPr>
        <w:t xml:space="preserve"> g each</w:t>
      </w:r>
      <w:r w:rsidRPr="00284D8E">
        <w:rPr>
          <w:rFonts w:hint="eastAsia"/>
          <w:iCs/>
          <w:color w:val="000000"/>
          <w:sz w:val="24"/>
        </w:rPr>
        <w:t>. Then, each packet was sealed in</w:t>
      </w:r>
      <w:r>
        <w:rPr>
          <w:iCs/>
          <w:color w:val="000000"/>
          <w:sz w:val="24"/>
        </w:rPr>
        <w:t xml:space="preserve"> </w:t>
      </w:r>
      <w:r>
        <w:rPr>
          <w:rFonts w:eastAsia="PMingLiU"/>
          <w:iCs/>
          <w:color w:val="000000"/>
          <w:sz w:val="24"/>
          <w:lang w:eastAsia="zh-TW"/>
        </w:rPr>
        <w:t>aluminum</w:t>
      </w:r>
      <w:r>
        <w:rPr>
          <w:iCs/>
          <w:color w:val="000000"/>
          <w:sz w:val="24"/>
          <w:lang w:eastAsia="en-CA"/>
        </w:rPr>
        <w:t xml:space="preserve"> foil bag</w:t>
      </w:r>
      <w:r>
        <w:rPr>
          <w:rFonts w:hint="eastAsia"/>
          <w:iCs/>
          <w:color w:val="000000"/>
          <w:sz w:val="24"/>
        </w:rPr>
        <w:t>.</w:t>
      </w:r>
      <w:r>
        <w:rPr>
          <w:iCs/>
          <w:color w:val="000000"/>
          <w:sz w:val="24"/>
          <w:lang w:eastAsia="en-CA"/>
        </w:rPr>
        <w:t xml:space="preserve"> Long term storage of the material at NIM is at about -20ºC.</w:t>
      </w:r>
      <w:r>
        <w:rPr>
          <w:sz w:val="24"/>
        </w:rPr>
        <w:t xml:space="preserve">  </w:t>
      </w:r>
    </w:p>
    <w:p w14:paraId="2DFEC634" w14:textId="77777777" w:rsidR="00E95628" w:rsidRDefault="004759AF">
      <w:pPr>
        <w:pStyle w:val="ae"/>
        <w:spacing w:beforeLines="100" w:before="240" w:afterLines="50" w:after="120" w:line="360" w:lineRule="auto"/>
        <w:rPr>
          <w:b/>
          <w:szCs w:val="24"/>
          <w:lang w:eastAsia="zh-CN"/>
        </w:rPr>
      </w:pPr>
      <w:r>
        <w:rPr>
          <w:b/>
          <w:szCs w:val="24"/>
        </w:rPr>
        <w:t>Measurand</w:t>
      </w:r>
    </w:p>
    <w:p w14:paraId="22068445" w14:textId="77777777" w:rsidR="00E95628" w:rsidRDefault="004759AF">
      <w:pPr>
        <w:pStyle w:val="ae"/>
        <w:spacing w:line="360" w:lineRule="auto"/>
        <w:jc w:val="both"/>
        <w:rPr>
          <w:b/>
          <w:iCs/>
          <w:color w:val="000000"/>
          <w:szCs w:val="24"/>
          <w:lang w:eastAsia="zh-CN"/>
        </w:rPr>
      </w:pPr>
      <w:r>
        <w:rPr>
          <w:iCs/>
          <w:color w:val="000000"/>
          <w:szCs w:val="24"/>
          <w:lang w:eastAsia="en-CA"/>
        </w:rPr>
        <w:t>The measurand of this study is trans-zearalenone in maize powder</w:t>
      </w:r>
      <w:r>
        <w:rPr>
          <w:rFonts w:hint="eastAsia"/>
          <w:iCs/>
          <w:color w:val="000000"/>
          <w:szCs w:val="24"/>
          <w:lang w:eastAsia="zh-CN"/>
        </w:rPr>
        <w:t>.</w:t>
      </w:r>
      <w:r>
        <w:rPr>
          <w:iCs/>
          <w:color w:val="000000"/>
          <w:szCs w:val="24"/>
          <w:lang w:eastAsia="zh-CN"/>
        </w:rPr>
        <w:t xml:space="preserve"> T</w:t>
      </w:r>
      <w:r>
        <w:rPr>
          <w:rFonts w:hint="eastAsia"/>
          <w:iCs/>
          <w:color w:val="000000"/>
          <w:szCs w:val="24"/>
          <w:lang w:eastAsia="zh-CN"/>
        </w:rPr>
        <w:t>he</w:t>
      </w:r>
      <w:r>
        <w:rPr>
          <w:iCs/>
          <w:color w:val="000000"/>
          <w:szCs w:val="24"/>
          <w:lang w:eastAsia="zh-CN"/>
        </w:rPr>
        <w:t xml:space="preserve"> measurand is trans-zearalenone (or E-Zearalenone) with information listed as follows. </w:t>
      </w:r>
    </w:p>
    <w:p w14:paraId="6F0D1A90" w14:textId="77777777" w:rsidR="00E95628" w:rsidRDefault="004759AF">
      <w:pPr>
        <w:pStyle w:val="ae"/>
        <w:spacing w:line="360" w:lineRule="auto"/>
        <w:jc w:val="center"/>
        <w:rPr>
          <w:b/>
          <w:iCs/>
          <w:color w:val="000000"/>
          <w:szCs w:val="24"/>
          <w:lang w:eastAsia="zh-CN"/>
        </w:rPr>
      </w:pPr>
      <w:r>
        <w:rPr>
          <w:b/>
          <w:iCs/>
          <w:color w:val="000000"/>
          <w:szCs w:val="24"/>
          <w:lang w:eastAsia="zh-CN"/>
        </w:rPr>
        <w:t>Table 1 Information of trans-zearalenone</w:t>
      </w:r>
    </w:p>
    <w:tbl>
      <w:tblPr>
        <w:tblW w:w="6955" w:type="dxa"/>
        <w:tblInd w:w="8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3623"/>
        <w:gridCol w:w="1242"/>
      </w:tblGrid>
      <w:tr w:rsidR="00E95628" w:rsidRPr="002F7302" w14:paraId="4A316EB2" w14:textId="77777777" w:rsidTr="004545B9">
        <w:tc>
          <w:tcPr>
            <w:tcW w:w="2090" w:type="dxa"/>
          </w:tcPr>
          <w:p w14:paraId="64C0FBCC" w14:textId="77777777" w:rsidR="00E95628" w:rsidRPr="002F7302" w:rsidRDefault="004759AF">
            <w:pPr>
              <w:pStyle w:val="ae"/>
              <w:spacing w:line="360" w:lineRule="auto"/>
              <w:rPr>
                <w:sz w:val="22"/>
                <w:szCs w:val="24"/>
                <w:lang w:eastAsia="zh-CN"/>
              </w:rPr>
            </w:pPr>
            <w:r w:rsidRPr="002F7302">
              <w:rPr>
                <w:sz w:val="22"/>
                <w:szCs w:val="24"/>
                <w:lang w:eastAsia="zh-CN"/>
              </w:rPr>
              <w:t>Name</w:t>
            </w:r>
          </w:p>
        </w:tc>
        <w:tc>
          <w:tcPr>
            <w:tcW w:w="3623" w:type="dxa"/>
          </w:tcPr>
          <w:p w14:paraId="4A58F826" w14:textId="6A6DB06B" w:rsidR="00E95628" w:rsidRPr="002F7302" w:rsidRDefault="004759AF" w:rsidP="00603BE1">
            <w:pPr>
              <w:pStyle w:val="ae"/>
              <w:spacing w:line="360" w:lineRule="auto"/>
              <w:rPr>
                <w:sz w:val="22"/>
                <w:szCs w:val="24"/>
                <w:lang w:eastAsia="zh-CN"/>
              </w:rPr>
            </w:pPr>
            <w:r w:rsidRPr="002F7302">
              <w:rPr>
                <w:iCs/>
                <w:color w:val="000000"/>
                <w:sz w:val="22"/>
                <w:szCs w:val="24"/>
                <w:lang w:eastAsia="zh-CN"/>
              </w:rPr>
              <w:t>Trans-Zearalenone</w:t>
            </w:r>
            <w:r w:rsidR="00A331B8" w:rsidRPr="002F7302">
              <w:rPr>
                <w:iCs/>
                <w:color w:val="000000"/>
                <w:sz w:val="22"/>
                <w:szCs w:val="24"/>
                <w:lang w:eastAsia="zh-CN"/>
              </w:rPr>
              <w:t xml:space="preserve"> </w:t>
            </w:r>
            <w:r w:rsidRPr="002F7302">
              <w:rPr>
                <w:iCs/>
                <w:color w:val="000000"/>
                <w:sz w:val="22"/>
                <w:szCs w:val="24"/>
                <w:lang w:eastAsia="zh-CN"/>
              </w:rPr>
              <w:t xml:space="preserve"> (tran</w:t>
            </w:r>
            <w:r w:rsidRPr="002F7302">
              <w:rPr>
                <w:rFonts w:hint="eastAsia"/>
                <w:iCs/>
                <w:color w:val="000000"/>
                <w:sz w:val="22"/>
                <w:szCs w:val="24"/>
                <w:lang w:eastAsia="zh-CN"/>
              </w:rPr>
              <w:t>s</w:t>
            </w:r>
            <w:r w:rsidRPr="002F7302">
              <w:rPr>
                <w:iCs/>
                <w:color w:val="000000"/>
                <w:sz w:val="22"/>
                <w:szCs w:val="24"/>
                <w:lang w:eastAsia="zh-CN"/>
              </w:rPr>
              <w:t>-ZEN)</w:t>
            </w:r>
          </w:p>
        </w:tc>
        <w:tc>
          <w:tcPr>
            <w:tcW w:w="1242" w:type="dxa"/>
            <w:vMerge w:val="restart"/>
            <w:vAlign w:val="center"/>
          </w:tcPr>
          <w:p w14:paraId="5234AF2F" w14:textId="77777777" w:rsidR="00E95628" w:rsidRPr="002F7302" w:rsidRDefault="004759AF" w:rsidP="00603BE1">
            <w:pPr>
              <w:pStyle w:val="ae"/>
              <w:spacing w:line="360" w:lineRule="auto"/>
              <w:jc w:val="center"/>
              <w:rPr>
                <w:sz w:val="22"/>
                <w:szCs w:val="24"/>
                <w:lang w:eastAsia="zh-CN"/>
              </w:rPr>
            </w:pPr>
            <w:r w:rsidRPr="002F7302">
              <w:rPr>
                <w:noProof/>
                <w:sz w:val="22"/>
                <w:szCs w:val="24"/>
                <w:lang w:eastAsia="zh-CN"/>
              </w:rPr>
              <w:drawing>
                <wp:inline distT="0" distB="0" distL="114300" distR="114300" wp14:anchorId="7FF196A3" wp14:editId="722CE3EC">
                  <wp:extent cx="974090" cy="1000760"/>
                  <wp:effectExtent l="0" t="0" r="16510"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974090" cy="1000760"/>
                          </a:xfrm>
                          <a:prstGeom prst="rect">
                            <a:avLst/>
                          </a:prstGeom>
                          <a:noFill/>
                          <a:ln>
                            <a:noFill/>
                          </a:ln>
                        </pic:spPr>
                      </pic:pic>
                    </a:graphicData>
                  </a:graphic>
                </wp:inline>
              </w:drawing>
            </w:r>
          </w:p>
        </w:tc>
      </w:tr>
      <w:tr w:rsidR="00E95628" w:rsidRPr="002F7302" w14:paraId="4CEEE05A" w14:textId="77777777" w:rsidTr="004545B9">
        <w:tc>
          <w:tcPr>
            <w:tcW w:w="2090" w:type="dxa"/>
          </w:tcPr>
          <w:p w14:paraId="65708D96" w14:textId="77777777" w:rsidR="00E95628" w:rsidRPr="002F7302" w:rsidRDefault="004759AF">
            <w:pPr>
              <w:pStyle w:val="ae"/>
              <w:spacing w:line="360" w:lineRule="auto"/>
              <w:rPr>
                <w:sz w:val="22"/>
                <w:szCs w:val="24"/>
              </w:rPr>
            </w:pPr>
            <w:r w:rsidRPr="002F7302">
              <w:rPr>
                <w:sz w:val="22"/>
                <w:szCs w:val="24"/>
              </w:rPr>
              <w:t>CAS</w:t>
            </w:r>
          </w:p>
        </w:tc>
        <w:tc>
          <w:tcPr>
            <w:tcW w:w="3623" w:type="dxa"/>
          </w:tcPr>
          <w:p w14:paraId="29F4950D" w14:textId="77777777" w:rsidR="00E95628" w:rsidRPr="002F7302" w:rsidRDefault="004759AF" w:rsidP="00603BE1">
            <w:pPr>
              <w:pStyle w:val="ae"/>
              <w:spacing w:line="360" w:lineRule="auto"/>
              <w:rPr>
                <w:sz w:val="22"/>
                <w:szCs w:val="24"/>
                <w:lang w:eastAsia="zh-CN"/>
              </w:rPr>
            </w:pPr>
            <w:r w:rsidRPr="002F7302">
              <w:rPr>
                <w:rFonts w:hint="eastAsia"/>
                <w:sz w:val="22"/>
                <w:szCs w:val="24"/>
                <w:lang w:eastAsia="zh-CN"/>
              </w:rPr>
              <w:t>1</w:t>
            </w:r>
            <w:r w:rsidRPr="002F7302">
              <w:rPr>
                <w:sz w:val="22"/>
                <w:szCs w:val="24"/>
                <w:lang w:eastAsia="zh-CN"/>
              </w:rPr>
              <w:t>7924-92-4</w:t>
            </w:r>
          </w:p>
        </w:tc>
        <w:tc>
          <w:tcPr>
            <w:tcW w:w="1242" w:type="dxa"/>
            <w:vMerge/>
          </w:tcPr>
          <w:p w14:paraId="2706DA3B" w14:textId="77777777" w:rsidR="00E95628" w:rsidRPr="002F7302" w:rsidRDefault="00E95628">
            <w:pPr>
              <w:pStyle w:val="ae"/>
              <w:spacing w:line="360" w:lineRule="auto"/>
              <w:jc w:val="center"/>
              <w:rPr>
                <w:sz w:val="22"/>
                <w:szCs w:val="24"/>
                <w:lang w:eastAsia="zh-CN"/>
              </w:rPr>
            </w:pPr>
          </w:p>
        </w:tc>
      </w:tr>
      <w:tr w:rsidR="00E95628" w:rsidRPr="002F7302" w14:paraId="260C4C76" w14:textId="77777777" w:rsidTr="004545B9">
        <w:tc>
          <w:tcPr>
            <w:tcW w:w="2090" w:type="dxa"/>
          </w:tcPr>
          <w:p w14:paraId="0321AB26" w14:textId="77777777" w:rsidR="00E95628" w:rsidRPr="002F7302" w:rsidRDefault="004759AF">
            <w:pPr>
              <w:pStyle w:val="ae"/>
              <w:spacing w:line="360" w:lineRule="auto"/>
              <w:rPr>
                <w:b/>
                <w:sz w:val="22"/>
                <w:szCs w:val="24"/>
                <w:lang w:eastAsia="zh-CN"/>
              </w:rPr>
            </w:pPr>
            <w:r w:rsidRPr="002F7302">
              <w:rPr>
                <w:sz w:val="22"/>
                <w:szCs w:val="24"/>
              </w:rPr>
              <w:t>Molecular formula</w:t>
            </w:r>
          </w:p>
        </w:tc>
        <w:tc>
          <w:tcPr>
            <w:tcW w:w="3623" w:type="dxa"/>
          </w:tcPr>
          <w:p w14:paraId="3DAF8B19" w14:textId="77777777" w:rsidR="00E95628" w:rsidRPr="002F7302" w:rsidRDefault="004759AF" w:rsidP="00603BE1">
            <w:pPr>
              <w:pStyle w:val="ae"/>
              <w:spacing w:line="360" w:lineRule="auto"/>
              <w:rPr>
                <w:b/>
                <w:sz w:val="22"/>
                <w:szCs w:val="24"/>
                <w:lang w:eastAsia="zh-CN"/>
              </w:rPr>
            </w:pPr>
            <w:r w:rsidRPr="002F7302">
              <w:rPr>
                <w:sz w:val="22"/>
                <w:szCs w:val="24"/>
              </w:rPr>
              <w:t>C</w:t>
            </w:r>
            <w:r w:rsidRPr="002F7302">
              <w:rPr>
                <w:sz w:val="22"/>
                <w:szCs w:val="24"/>
                <w:vertAlign w:val="subscript"/>
              </w:rPr>
              <w:t>18</w:t>
            </w:r>
            <w:r w:rsidRPr="002F7302">
              <w:rPr>
                <w:sz w:val="22"/>
                <w:szCs w:val="24"/>
              </w:rPr>
              <w:t>H</w:t>
            </w:r>
            <w:r w:rsidRPr="002F7302">
              <w:rPr>
                <w:sz w:val="22"/>
                <w:szCs w:val="24"/>
                <w:vertAlign w:val="subscript"/>
              </w:rPr>
              <w:t>22</w:t>
            </w:r>
            <w:r w:rsidRPr="002F7302">
              <w:rPr>
                <w:sz w:val="22"/>
                <w:szCs w:val="24"/>
              </w:rPr>
              <w:t>O</w:t>
            </w:r>
            <w:r w:rsidRPr="002F7302">
              <w:rPr>
                <w:sz w:val="22"/>
                <w:szCs w:val="24"/>
                <w:vertAlign w:val="subscript"/>
              </w:rPr>
              <w:t>5</w:t>
            </w:r>
          </w:p>
        </w:tc>
        <w:tc>
          <w:tcPr>
            <w:tcW w:w="1242" w:type="dxa"/>
            <w:vMerge/>
          </w:tcPr>
          <w:p w14:paraId="12782411" w14:textId="77777777" w:rsidR="00E95628" w:rsidRPr="002F7302" w:rsidRDefault="00E95628">
            <w:pPr>
              <w:pStyle w:val="ae"/>
              <w:spacing w:line="360" w:lineRule="auto"/>
              <w:rPr>
                <w:sz w:val="22"/>
                <w:szCs w:val="24"/>
              </w:rPr>
            </w:pPr>
          </w:p>
        </w:tc>
      </w:tr>
      <w:tr w:rsidR="00E95628" w:rsidRPr="002F7302" w14:paraId="1A1C079E" w14:textId="77777777" w:rsidTr="004545B9">
        <w:tc>
          <w:tcPr>
            <w:tcW w:w="2090" w:type="dxa"/>
          </w:tcPr>
          <w:p w14:paraId="40DE0BC1" w14:textId="77777777" w:rsidR="00E95628" w:rsidRPr="002F7302" w:rsidRDefault="004759AF">
            <w:pPr>
              <w:pStyle w:val="ae"/>
              <w:spacing w:line="360" w:lineRule="auto"/>
              <w:rPr>
                <w:b/>
                <w:i/>
                <w:sz w:val="22"/>
                <w:szCs w:val="24"/>
                <w:lang w:eastAsia="zh-CN"/>
              </w:rPr>
            </w:pPr>
            <w:r w:rsidRPr="002F7302">
              <w:rPr>
                <w:i/>
                <w:sz w:val="22"/>
                <w:szCs w:val="24"/>
              </w:rPr>
              <w:t>M</w:t>
            </w:r>
            <w:r w:rsidRPr="002F7302">
              <w:rPr>
                <w:i/>
                <w:sz w:val="22"/>
                <w:szCs w:val="24"/>
                <w:vertAlign w:val="subscript"/>
              </w:rPr>
              <w:t>W</w:t>
            </w:r>
          </w:p>
        </w:tc>
        <w:tc>
          <w:tcPr>
            <w:tcW w:w="3623" w:type="dxa"/>
          </w:tcPr>
          <w:p w14:paraId="2175D07E" w14:textId="77777777" w:rsidR="00E95628" w:rsidRPr="002F7302" w:rsidRDefault="004759AF" w:rsidP="00603BE1">
            <w:pPr>
              <w:pStyle w:val="ae"/>
              <w:spacing w:line="360" w:lineRule="auto"/>
              <w:rPr>
                <w:b/>
                <w:sz w:val="22"/>
                <w:szCs w:val="24"/>
                <w:lang w:eastAsia="zh-CN"/>
              </w:rPr>
            </w:pPr>
            <w:r w:rsidRPr="002F7302">
              <w:rPr>
                <w:sz w:val="22"/>
              </w:rPr>
              <w:t>318.36</w:t>
            </w:r>
          </w:p>
        </w:tc>
        <w:tc>
          <w:tcPr>
            <w:tcW w:w="1242" w:type="dxa"/>
            <w:vMerge/>
          </w:tcPr>
          <w:p w14:paraId="3FCC4266" w14:textId="77777777" w:rsidR="00E95628" w:rsidRPr="002F7302" w:rsidRDefault="00E95628">
            <w:pPr>
              <w:pStyle w:val="ae"/>
              <w:spacing w:line="360" w:lineRule="auto"/>
              <w:rPr>
                <w:sz w:val="22"/>
              </w:rPr>
            </w:pPr>
          </w:p>
        </w:tc>
      </w:tr>
      <w:tr w:rsidR="00E95628" w:rsidRPr="002F7302" w14:paraId="6D991BDC" w14:textId="77777777" w:rsidTr="004545B9">
        <w:tc>
          <w:tcPr>
            <w:tcW w:w="2090" w:type="dxa"/>
          </w:tcPr>
          <w:p w14:paraId="405CF398" w14:textId="77777777" w:rsidR="00E95628" w:rsidRPr="002F7302" w:rsidRDefault="004759AF">
            <w:pPr>
              <w:pStyle w:val="ae"/>
              <w:spacing w:line="360" w:lineRule="auto"/>
              <w:rPr>
                <w:b/>
                <w:i/>
                <w:sz w:val="22"/>
                <w:szCs w:val="24"/>
                <w:lang w:eastAsia="zh-CN"/>
              </w:rPr>
            </w:pPr>
            <w:r w:rsidRPr="002F7302">
              <w:rPr>
                <w:i/>
                <w:sz w:val="22"/>
                <w:szCs w:val="24"/>
              </w:rPr>
              <w:t>pK</w:t>
            </w:r>
            <w:r w:rsidRPr="002F7302">
              <w:rPr>
                <w:i/>
                <w:sz w:val="22"/>
                <w:szCs w:val="24"/>
                <w:vertAlign w:val="subscript"/>
              </w:rPr>
              <w:t>ow</w:t>
            </w:r>
          </w:p>
        </w:tc>
        <w:tc>
          <w:tcPr>
            <w:tcW w:w="3623" w:type="dxa"/>
          </w:tcPr>
          <w:p w14:paraId="48F9D4BA" w14:textId="77777777" w:rsidR="00E95628" w:rsidRPr="002F7302" w:rsidRDefault="004759AF" w:rsidP="00603BE1">
            <w:pPr>
              <w:pStyle w:val="ae"/>
              <w:spacing w:line="360" w:lineRule="auto"/>
              <w:rPr>
                <w:b/>
                <w:sz w:val="22"/>
                <w:szCs w:val="24"/>
                <w:lang w:eastAsia="zh-CN"/>
              </w:rPr>
            </w:pPr>
            <w:r w:rsidRPr="002F7302">
              <w:rPr>
                <w:sz w:val="22"/>
              </w:rPr>
              <w:t>-3.83</w:t>
            </w:r>
          </w:p>
        </w:tc>
        <w:tc>
          <w:tcPr>
            <w:tcW w:w="1242" w:type="dxa"/>
            <w:vMerge/>
          </w:tcPr>
          <w:p w14:paraId="3362BA7D" w14:textId="77777777" w:rsidR="00E95628" w:rsidRPr="002F7302" w:rsidRDefault="00E95628">
            <w:pPr>
              <w:pStyle w:val="ae"/>
              <w:spacing w:line="360" w:lineRule="auto"/>
              <w:rPr>
                <w:sz w:val="22"/>
              </w:rPr>
            </w:pPr>
          </w:p>
        </w:tc>
      </w:tr>
    </w:tbl>
    <w:p w14:paraId="25CEA795" w14:textId="77777777" w:rsidR="00E95628" w:rsidRDefault="00E95628">
      <w:pPr>
        <w:spacing w:line="360" w:lineRule="auto"/>
        <w:rPr>
          <w:sz w:val="24"/>
        </w:rPr>
      </w:pPr>
    </w:p>
    <w:p w14:paraId="03FFBEE6" w14:textId="77777777" w:rsidR="00E95628" w:rsidRDefault="004759AF">
      <w:pPr>
        <w:spacing w:beforeLines="100" w:before="240" w:afterLines="50" w:after="120" w:line="360" w:lineRule="auto"/>
        <w:rPr>
          <w:b/>
          <w:sz w:val="24"/>
        </w:rPr>
      </w:pPr>
      <w:r>
        <w:rPr>
          <w:b/>
          <w:sz w:val="24"/>
        </w:rPr>
        <w:t>Methods</w:t>
      </w:r>
    </w:p>
    <w:p w14:paraId="445931E2" w14:textId="1BE4E366" w:rsidR="00E95628" w:rsidRDefault="004759AF">
      <w:pPr>
        <w:pStyle w:val="ae"/>
        <w:spacing w:beforeLines="100" w:before="240" w:afterLines="50" w:after="120" w:line="360" w:lineRule="auto"/>
        <w:jc w:val="both"/>
        <w:rPr>
          <w:b/>
          <w:szCs w:val="24"/>
        </w:rPr>
      </w:pPr>
      <w:r>
        <w:rPr>
          <w:rFonts w:hint="eastAsia"/>
        </w:rPr>
        <w:t>The study will require extraction</w:t>
      </w:r>
      <w:r>
        <w:t xml:space="preserve">, </w:t>
      </w:r>
      <w:r>
        <w:rPr>
          <w:rFonts w:hint="eastAsia"/>
        </w:rPr>
        <w:t xml:space="preserve">clean-up, analytical separation, and selective detection of the analyte in </w:t>
      </w:r>
      <w:r>
        <w:t>maize</w:t>
      </w:r>
      <w:r>
        <w:rPr>
          <w:rFonts w:hint="eastAsia"/>
        </w:rPr>
        <w:t>.</w:t>
      </w:r>
      <w:r>
        <w:rPr>
          <w:rFonts w:hint="eastAsia"/>
          <w:color w:val="000000"/>
        </w:rPr>
        <w:t xml:space="preserve"> </w:t>
      </w:r>
      <w:r>
        <w:rPr>
          <w:color w:val="000000"/>
        </w:rPr>
        <w:t>Participants are anticipated to perform measurements by liquid chromatography-mass spectrometry (LC-MS/MS)</w:t>
      </w:r>
      <w:r>
        <w:rPr>
          <w:rFonts w:hint="eastAsia"/>
          <w:color w:val="000000"/>
        </w:rPr>
        <w:t xml:space="preserve">, </w:t>
      </w:r>
      <w:r>
        <w:rPr>
          <w:color w:val="000000"/>
        </w:rPr>
        <w:t>isotope-dilution liquid chromatography-mass spectrometry (LC-IDMS/MS), HPLC-FLD etc.</w:t>
      </w:r>
    </w:p>
    <w:p w14:paraId="2CDB74C2" w14:textId="77777777" w:rsidR="00E95628" w:rsidRDefault="004759AF">
      <w:pPr>
        <w:pStyle w:val="ae"/>
        <w:spacing w:beforeLines="100" w:before="240" w:afterLines="50" w:after="120" w:line="360" w:lineRule="auto"/>
        <w:jc w:val="both"/>
        <w:rPr>
          <w:b/>
          <w:szCs w:val="24"/>
        </w:rPr>
      </w:pPr>
      <w:r>
        <w:rPr>
          <w:b/>
          <w:szCs w:val="24"/>
        </w:rPr>
        <w:t>Homogeneity</w:t>
      </w:r>
    </w:p>
    <w:p w14:paraId="78BB82B6" w14:textId="6A52ABA4" w:rsidR="00E95628" w:rsidRPr="005907D6" w:rsidRDefault="004759AF" w:rsidP="009F5CA8">
      <w:pPr>
        <w:pStyle w:val="ae"/>
        <w:spacing w:beforeLines="100" w:before="240" w:afterLines="50" w:after="120" w:line="360" w:lineRule="auto"/>
        <w:jc w:val="both"/>
        <w:rPr>
          <w:color w:val="000000"/>
          <w:szCs w:val="24"/>
          <w:lang w:eastAsia="zh-CN"/>
        </w:rPr>
      </w:pPr>
      <w:r>
        <w:rPr>
          <w:rFonts w:hint="eastAsia"/>
          <w:szCs w:val="24"/>
          <w:lang w:eastAsia="zh-CN"/>
        </w:rPr>
        <w:t>A</w:t>
      </w:r>
      <w:r>
        <w:rPr>
          <w:szCs w:val="24"/>
          <w:lang w:eastAsia="zh-CN"/>
        </w:rPr>
        <w:t xml:space="preserve">ll samples were kept at the storage condition of </w:t>
      </w:r>
      <w:r>
        <w:rPr>
          <w:rFonts w:hint="eastAsia"/>
          <w:szCs w:val="24"/>
          <w:lang w:eastAsia="zh-CN"/>
        </w:rPr>
        <w:t>-20</w:t>
      </w:r>
      <w:r>
        <w:rPr>
          <w:szCs w:val="24"/>
          <w:lang w:eastAsia="zh-CN"/>
        </w:rPr>
        <w:t xml:space="preserve">ºC by </w:t>
      </w:r>
      <w:r>
        <w:rPr>
          <w:rFonts w:hint="eastAsia"/>
          <w:szCs w:val="24"/>
          <w:lang w:eastAsia="zh-CN"/>
        </w:rPr>
        <w:t xml:space="preserve">NIM. </w:t>
      </w:r>
      <w:r>
        <w:rPr>
          <w:color w:val="000000"/>
          <w:szCs w:val="24"/>
          <w:lang w:eastAsia="zh-CN"/>
        </w:rPr>
        <w:t xml:space="preserve">19 </w:t>
      </w:r>
      <w:r>
        <w:rPr>
          <w:rFonts w:hint="eastAsia"/>
          <w:color w:val="000000"/>
          <w:szCs w:val="24"/>
          <w:lang w:eastAsia="zh-CN"/>
        </w:rPr>
        <w:t>p</w:t>
      </w:r>
      <w:r>
        <w:rPr>
          <w:rFonts w:hint="eastAsia"/>
          <w:szCs w:val="24"/>
          <w:lang w:eastAsia="zh-CN"/>
        </w:rPr>
        <w:t>acket</w:t>
      </w:r>
      <w:r>
        <w:rPr>
          <w:szCs w:val="24"/>
          <w:lang w:eastAsia="zh-CN"/>
        </w:rPr>
        <w:t>s of samples were taken randomly, and triplicate</w:t>
      </w:r>
      <w:r>
        <w:rPr>
          <w:szCs w:val="24"/>
        </w:rPr>
        <w:t xml:space="preserve"> sub-samples </w:t>
      </w:r>
      <w:r>
        <w:rPr>
          <w:rFonts w:hint="eastAsia"/>
          <w:szCs w:val="24"/>
          <w:lang w:eastAsia="zh-CN"/>
        </w:rPr>
        <w:t>(5.0g)</w:t>
      </w:r>
      <w:r>
        <w:rPr>
          <w:szCs w:val="24"/>
        </w:rPr>
        <w:t xml:space="preserve"> </w:t>
      </w:r>
      <w:r>
        <w:rPr>
          <w:szCs w:val="24"/>
          <w:lang w:eastAsia="zh-CN"/>
        </w:rPr>
        <w:t>were dete</w:t>
      </w:r>
      <w:r w:rsidRPr="005907D6">
        <w:rPr>
          <w:szCs w:val="24"/>
          <w:lang w:eastAsia="zh-CN"/>
        </w:rPr>
        <w:t xml:space="preserve">rmined </w:t>
      </w:r>
      <w:r w:rsidRPr="005907D6">
        <w:rPr>
          <w:szCs w:val="24"/>
        </w:rPr>
        <w:t>using LC-MS/MS method</w:t>
      </w:r>
      <w:r w:rsidRPr="005907D6">
        <w:rPr>
          <w:szCs w:val="24"/>
          <w:lang w:eastAsia="zh-CN"/>
        </w:rPr>
        <w:t xml:space="preserve">. </w:t>
      </w:r>
      <w:r w:rsidRPr="005907D6">
        <w:rPr>
          <w:color w:val="000000"/>
          <w:szCs w:val="24"/>
          <w:lang w:eastAsia="zh-CN"/>
        </w:rPr>
        <w:t xml:space="preserve">One-way ANOVA with F-test in accordance with the requirements as stipulated in ISO Guide 35 </w:t>
      </w:r>
      <w:r w:rsidR="005907D6" w:rsidRPr="005907D6">
        <w:rPr>
          <w:color w:val="000000"/>
          <w:szCs w:val="24"/>
          <w:vertAlign w:val="superscript"/>
          <w:lang w:eastAsia="zh-CN"/>
        </w:rPr>
        <w:t>[1]</w:t>
      </w:r>
      <w:r w:rsidR="005907D6">
        <w:rPr>
          <w:color w:val="000000"/>
          <w:szCs w:val="24"/>
          <w:vertAlign w:val="superscript"/>
          <w:lang w:eastAsia="zh-CN"/>
        </w:rPr>
        <w:t xml:space="preserve"> </w:t>
      </w:r>
      <w:r w:rsidRPr="005907D6">
        <w:rPr>
          <w:color w:val="000000"/>
          <w:szCs w:val="24"/>
          <w:lang w:eastAsia="zh-CN"/>
        </w:rPr>
        <w:t xml:space="preserve">was </w:t>
      </w:r>
      <w:r w:rsidRPr="005907D6">
        <w:rPr>
          <w:color w:val="000000"/>
          <w:szCs w:val="24"/>
          <w:lang w:eastAsia="zh-CN"/>
        </w:rPr>
        <w:lastRenderedPageBreak/>
        <w:t>used to test whether there were significant between-packet differences in the concentration of the measurand. The value of the relevant F-test ratios 1.06 is smaller than critical value 1.88 at 95% confidence level, which indicates that the inhomogeneity of the study material was insignificant.</w:t>
      </w:r>
    </w:p>
    <w:p w14:paraId="39B3A3D2" w14:textId="77777777" w:rsidR="00E95628" w:rsidRPr="005907D6" w:rsidRDefault="004759AF">
      <w:pPr>
        <w:pStyle w:val="ae"/>
        <w:spacing w:beforeLines="100" w:before="240" w:afterLines="50" w:after="120" w:line="360" w:lineRule="auto"/>
        <w:jc w:val="both"/>
        <w:rPr>
          <w:b/>
          <w:szCs w:val="24"/>
          <w:lang w:eastAsia="zh-CN"/>
        </w:rPr>
      </w:pPr>
      <w:r w:rsidRPr="005907D6">
        <w:rPr>
          <w:b/>
          <w:szCs w:val="24"/>
          <w:lang w:eastAsia="zh-CN"/>
        </w:rPr>
        <w:t>S</w:t>
      </w:r>
      <w:r w:rsidRPr="005907D6">
        <w:rPr>
          <w:rFonts w:hint="eastAsia"/>
          <w:b/>
          <w:szCs w:val="24"/>
          <w:lang w:eastAsia="zh-CN"/>
        </w:rPr>
        <w:t xml:space="preserve">tability </w:t>
      </w:r>
    </w:p>
    <w:p w14:paraId="3BA079C5" w14:textId="49B28DAA" w:rsidR="00E95628" w:rsidRDefault="004759AF">
      <w:pPr>
        <w:pStyle w:val="ae"/>
        <w:spacing w:beforeLines="50" w:before="120" w:afterLines="50" w:after="120" w:line="360" w:lineRule="auto"/>
        <w:jc w:val="both"/>
        <w:rPr>
          <w:szCs w:val="24"/>
          <w:lang w:eastAsia="zh-CN"/>
        </w:rPr>
      </w:pPr>
      <w:r w:rsidRPr="005907D6">
        <w:rPr>
          <w:szCs w:val="24"/>
          <w:lang w:eastAsia="zh-CN"/>
        </w:rPr>
        <w:t xml:space="preserve">The </w:t>
      </w:r>
      <w:r w:rsidRPr="005907D6">
        <w:rPr>
          <w:rFonts w:hint="eastAsia"/>
          <w:szCs w:val="24"/>
          <w:lang w:eastAsia="zh-CN"/>
        </w:rPr>
        <w:t xml:space="preserve">long-term and short-term stability </w:t>
      </w:r>
      <w:r w:rsidRPr="005907D6">
        <w:rPr>
          <w:szCs w:val="24"/>
          <w:lang w:eastAsia="zh-CN"/>
        </w:rPr>
        <w:t xml:space="preserve">testing </w:t>
      </w:r>
      <w:r w:rsidRPr="005907D6">
        <w:rPr>
          <w:rFonts w:hint="eastAsia"/>
          <w:szCs w:val="24"/>
          <w:lang w:eastAsia="zh-CN"/>
        </w:rPr>
        <w:t xml:space="preserve">of </w:t>
      </w:r>
      <w:r w:rsidRPr="005907D6">
        <w:rPr>
          <w:szCs w:val="24"/>
          <w:lang w:eastAsia="zh-CN"/>
        </w:rPr>
        <w:t>ZEN</w:t>
      </w:r>
      <w:r w:rsidRPr="005907D6">
        <w:rPr>
          <w:rFonts w:hint="eastAsia"/>
          <w:szCs w:val="24"/>
          <w:lang w:eastAsia="zh-CN"/>
        </w:rPr>
        <w:t xml:space="preserve"> in </w:t>
      </w:r>
      <w:r w:rsidRPr="005907D6">
        <w:rPr>
          <w:szCs w:val="24"/>
          <w:lang w:eastAsia="zh-CN"/>
        </w:rPr>
        <w:t>the maize samples</w:t>
      </w:r>
      <w:r w:rsidRPr="005907D6">
        <w:rPr>
          <w:rFonts w:hint="eastAsia"/>
          <w:szCs w:val="24"/>
          <w:lang w:eastAsia="zh-CN"/>
        </w:rPr>
        <w:t xml:space="preserve"> ha</w:t>
      </w:r>
      <w:r w:rsidRPr="005907D6">
        <w:rPr>
          <w:szCs w:val="24"/>
          <w:lang w:eastAsia="zh-CN"/>
        </w:rPr>
        <w:t>ve</w:t>
      </w:r>
      <w:r w:rsidRPr="005907D6">
        <w:rPr>
          <w:rFonts w:hint="eastAsia"/>
          <w:szCs w:val="24"/>
          <w:lang w:eastAsia="zh-CN"/>
        </w:rPr>
        <w:t xml:space="preserve"> </w:t>
      </w:r>
      <w:r w:rsidRPr="005907D6">
        <w:rPr>
          <w:szCs w:val="24"/>
          <w:lang w:eastAsia="zh-CN"/>
        </w:rPr>
        <w:t xml:space="preserve">been </w:t>
      </w:r>
      <w:r w:rsidRPr="005907D6">
        <w:rPr>
          <w:rFonts w:hint="eastAsia"/>
          <w:szCs w:val="24"/>
          <w:lang w:eastAsia="zh-CN"/>
        </w:rPr>
        <w:t xml:space="preserve">performed. </w:t>
      </w:r>
      <w:r w:rsidRPr="005907D6">
        <w:rPr>
          <w:szCs w:val="24"/>
          <w:lang w:eastAsia="zh-CN"/>
        </w:rPr>
        <w:t>Samples were stored at 60ºC for 0, 3, 7 and 14 days for the short-term stability with three pack</w:t>
      </w:r>
      <w:r w:rsidRPr="005907D6">
        <w:rPr>
          <w:rFonts w:hint="eastAsia"/>
          <w:szCs w:val="24"/>
          <w:lang w:eastAsia="zh-CN"/>
        </w:rPr>
        <w:t>et</w:t>
      </w:r>
      <w:r w:rsidRPr="005907D6">
        <w:rPr>
          <w:szCs w:val="24"/>
          <w:lang w:eastAsia="zh-CN"/>
        </w:rPr>
        <w:t>s being analyzed at each time point. This study was designed to test the material stability under transportation conditions. Similarly, five samples were selected randomly at the storage condition of -20ºC for testing at the 0, 1, 3, 6, 12, 18 month</w:t>
      </w:r>
      <w:r w:rsidRPr="005907D6">
        <w:rPr>
          <w:rFonts w:hint="eastAsia"/>
          <w:szCs w:val="24"/>
          <w:lang w:eastAsia="zh-CN"/>
        </w:rPr>
        <w:t>s</w:t>
      </w:r>
      <w:r w:rsidRPr="005907D6">
        <w:rPr>
          <w:szCs w:val="24"/>
          <w:lang w:eastAsia="zh-CN"/>
        </w:rPr>
        <w:t xml:space="preserve"> point</w:t>
      </w:r>
      <w:r w:rsidRPr="005907D6">
        <w:rPr>
          <w:rFonts w:hint="eastAsia"/>
          <w:szCs w:val="24"/>
          <w:lang w:eastAsia="zh-CN"/>
        </w:rPr>
        <w:t>s</w:t>
      </w:r>
      <w:r w:rsidRPr="005907D6">
        <w:rPr>
          <w:szCs w:val="24"/>
          <w:lang w:eastAsia="zh-CN"/>
        </w:rPr>
        <w:t xml:space="preserve"> for the long-term stability study. The trend-analysis technique proposed by ISO Guide 35</w:t>
      </w:r>
      <w:r w:rsidR="005907D6" w:rsidRPr="005907D6">
        <w:rPr>
          <w:szCs w:val="24"/>
          <w:vertAlign w:val="superscript"/>
          <w:lang w:eastAsia="zh-CN"/>
        </w:rPr>
        <w:t>[1]</w:t>
      </w:r>
      <w:r w:rsidRPr="005907D6">
        <w:rPr>
          <w:szCs w:val="24"/>
          <w:lang w:eastAsia="zh-CN"/>
        </w:rPr>
        <w:t xml:space="preserve"> was applied to assess the stability. The effect of time on the stability was evaluated using a linear approximation</w:t>
      </w:r>
      <w:r>
        <w:rPr>
          <w:szCs w:val="24"/>
          <w:lang w:eastAsia="zh-CN"/>
        </w:rPr>
        <w:t xml:space="preserve"> model by fitting linear regression lines to the data set (Y=</w:t>
      </w:r>
      <w:r>
        <w:rPr>
          <w:i/>
          <w:szCs w:val="24"/>
          <w:lang w:eastAsia="zh-CN"/>
        </w:rPr>
        <w:t>β</w:t>
      </w:r>
      <w:r>
        <w:rPr>
          <w:i/>
          <w:szCs w:val="24"/>
          <w:vertAlign w:val="subscript"/>
          <w:lang w:eastAsia="zh-CN"/>
        </w:rPr>
        <w:t>0</w:t>
      </w:r>
      <w:r w:rsidR="002D27EE">
        <w:rPr>
          <w:szCs w:val="24"/>
          <w:lang w:eastAsia="zh-CN"/>
        </w:rPr>
        <w:t>+</w:t>
      </w:r>
      <w:r>
        <w:rPr>
          <w:i/>
          <w:szCs w:val="24"/>
          <w:lang w:eastAsia="zh-CN"/>
        </w:rPr>
        <w:t>β</w:t>
      </w:r>
      <w:r>
        <w:rPr>
          <w:i/>
          <w:szCs w:val="24"/>
          <w:vertAlign w:val="subscript"/>
          <w:lang w:eastAsia="zh-CN"/>
        </w:rPr>
        <w:t>1</w:t>
      </w:r>
      <w:r>
        <w:rPr>
          <w:szCs w:val="24"/>
          <w:lang w:eastAsia="zh-CN"/>
        </w:rPr>
        <w:t>X). The statistical results indicated that no significant trend at 95% confidence level was detected</w:t>
      </w:r>
      <w:r w:rsidR="00C4721A">
        <w:rPr>
          <w:szCs w:val="24"/>
          <w:lang w:eastAsia="zh-CN"/>
        </w:rPr>
        <w:t xml:space="preserve"> for long-term and short-term stability testing.</w:t>
      </w:r>
    </w:p>
    <w:p w14:paraId="065F22E1" w14:textId="77777777" w:rsidR="00E95628" w:rsidRDefault="004759AF">
      <w:pPr>
        <w:pStyle w:val="ae"/>
        <w:spacing w:beforeLines="100" w:before="240" w:afterLines="50" w:after="120" w:line="360" w:lineRule="auto"/>
        <w:jc w:val="both"/>
      </w:pPr>
      <w:r>
        <w:rPr>
          <w:b/>
          <w:szCs w:val="24"/>
        </w:rPr>
        <w:t>Reference Standards Available</w:t>
      </w:r>
    </w:p>
    <w:p w14:paraId="0AC9D5A0" w14:textId="645A338C" w:rsidR="00E95628" w:rsidRDefault="004759AF">
      <w:pPr>
        <w:pStyle w:val="ae"/>
        <w:spacing w:beforeLines="50" w:before="120" w:afterLines="50" w:after="120" w:line="360" w:lineRule="auto"/>
        <w:jc w:val="both"/>
        <w:rPr>
          <w:szCs w:val="24"/>
          <w:lang w:eastAsia="zh-CN"/>
        </w:rPr>
      </w:pPr>
      <w:r>
        <w:rPr>
          <w:color w:val="000000"/>
          <w:szCs w:val="24"/>
        </w:rPr>
        <w:t xml:space="preserve">Pure and Solution CRMs are available from </w:t>
      </w:r>
      <w:r>
        <w:rPr>
          <w:rFonts w:hint="eastAsia"/>
          <w:color w:val="000000"/>
          <w:szCs w:val="24"/>
          <w:lang w:eastAsia="zh-CN"/>
        </w:rPr>
        <w:t>NIM</w:t>
      </w:r>
      <w:r>
        <w:rPr>
          <w:color w:val="000000"/>
          <w:szCs w:val="24"/>
          <w:lang w:eastAsia="zh-CN"/>
        </w:rPr>
        <w:t xml:space="preserve"> and </w:t>
      </w:r>
      <w:r>
        <w:rPr>
          <w:rFonts w:eastAsia="Arial Unicode MS"/>
          <w:color w:val="000000"/>
          <w:kern w:val="24"/>
          <w:szCs w:val="24"/>
        </w:rPr>
        <w:t>NMIA</w:t>
      </w:r>
      <w:r>
        <w:rPr>
          <w:color w:val="000000"/>
          <w:szCs w:val="24"/>
        </w:rPr>
        <w:t xml:space="preserve">, which were listed in Table </w:t>
      </w:r>
      <w:r w:rsidR="00C4721A">
        <w:rPr>
          <w:color w:val="000000"/>
          <w:szCs w:val="24"/>
        </w:rPr>
        <w:t>2</w:t>
      </w:r>
      <w:r>
        <w:rPr>
          <w:color w:val="000000"/>
          <w:szCs w:val="24"/>
        </w:rPr>
        <w:t xml:space="preserve">. Isotope labeled (carbon-13) ZEN for use as internal standard is commercially available from LGC and ROMER listed in Table </w:t>
      </w:r>
      <w:r w:rsidR="00C4721A">
        <w:rPr>
          <w:color w:val="000000"/>
          <w:szCs w:val="24"/>
        </w:rPr>
        <w:t>3</w:t>
      </w:r>
      <w:r>
        <w:rPr>
          <w:rFonts w:hint="eastAsia"/>
          <w:color w:val="000000"/>
          <w:szCs w:val="24"/>
          <w:lang w:eastAsia="zh-CN"/>
        </w:rPr>
        <w:t>.</w:t>
      </w:r>
      <w:r>
        <w:rPr>
          <w:color w:val="000000"/>
          <w:szCs w:val="24"/>
          <w:lang w:eastAsia="zh-CN"/>
        </w:rPr>
        <w:t xml:space="preserve"> The use of CRM and isotope labeled ZEN is not mandatory.</w:t>
      </w:r>
    </w:p>
    <w:p w14:paraId="7C152454" w14:textId="47548EC1" w:rsidR="00E95628" w:rsidRDefault="004759AF">
      <w:pPr>
        <w:pStyle w:val="ae"/>
        <w:spacing w:line="360" w:lineRule="auto"/>
        <w:jc w:val="both"/>
        <w:rPr>
          <w:b/>
          <w:bCs/>
          <w:color w:val="000000"/>
          <w:szCs w:val="24"/>
        </w:rPr>
      </w:pPr>
      <w:r>
        <w:rPr>
          <w:rFonts w:hint="eastAsia"/>
          <w:szCs w:val="24"/>
          <w:lang w:eastAsia="zh-CN"/>
        </w:rPr>
        <w:t xml:space="preserve"> </w:t>
      </w:r>
      <w:r>
        <w:rPr>
          <w:szCs w:val="24"/>
          <w:lang w:eastAsia="zh-CN"/>
        </w:rPr>
        <w:t xml:space="preserve">           </w:t>
      </w:r>
      <w:r>
        <w:rPr>
          <w:szCs w:val="24"/>
        </w:rPr>
        <w:t xml:space="preserve">  </w:t>
      </w:r>
      <w:r>
        <w:rPr>
          <w:color w:val="000000"/>
          <w:szCs w:val="24"/>
        </w:rPr>
        <w:t xml:space="preserve">   </w:t>
      </w:r>
      <w:r>
        <w:rPr>
          <w:b/>
          <w:bCs/>
          <w:color w:val="000000"/>
          <w:szCs w:val="24"/>
        </w:rPr>
        <w:t xml:space="preserve">Table </w:t>
      </w:r>
      <w:r w:rsidR="00C4721A">
        <w:rPr>
          <w:b/>
          <w:bCs/>
          <w:color w:val="000000"/>
          <w:szCs w:val="24"/>
        </w:rPr>
        <w:t>2</w:t>
      </w:r>
      <w:r>
        <w:rPr>
          <w:b/>
          <w:bCs/>
          <w:color w:val="000000"/>
          <w:szCs w:val="24"/>
        </w:rPr>
        <w:t xml:space="preserve">   List of ZEN pure and solution CRMs available as calibrants</w:t>
      </w:r>
    </w:p>
    <w:tbl>
      <w:tblPr>
        <w:tblW w:w="5000" w:type="pct"/>
        <w:jc w:val="center"/>
        <w:tblBorders>
          <w:top w:val="single" w:sz="4" w:space="0" w:color="7F7F7F"/>
          <w:bottom w:val="single" w:sz="4" w:space="0" w:color="7F7F7F"/>
        </w:tblBorders>
        <w:tblLayout w:type="fixed"/>
        <w:tblLook w:val="04A0" w:firstRow="1" w:lastRow="0" w:firstColumn="1" w:lastColumn="0" w:noHBand="0" w:noVBand="1"/>
      </w:tblPr>
      <w:tblGrid>
        <w:gridCol w:w="4314"/>
        <w:gridCol w:w="1639"/>
        <w:gridCol w:w="2115"/>
        <w:gridCol w:w="1292"/>
      </w:tblGrid>
      <w:tr w:rsidR="00E95628" w14:paraId="3E175C71" w14:textId="77777777" w:rsidTr="00936797">
        <w:trPr>
          <w:trHeight w:val="567"/>
          <w:jc w:val="center"/>
        </w:trPr>
        <w:tc>
          <w:tcPr>
            <w:tcW w:w="2304" w:type="pct"/>
            <w:tcBorders>
              <w:top w:val="single" w:sz="4" w:space="0" w:color="auto"/>
              <w:bottom w:val="single" w:sz="4" w:space="0" w:color="auto"/>
            </w:tcBorders>
            <w:vAlign w:val="center"/>
          </w:tcPr>
          <w:p w14:paraId="521F961D" w14:textId="77777777" w:rsidR="00E95628" w:rsidRPr="00507636" w:rsidRDefault="004759AF" w:rsidP="00936797">
            <w:pPr>
              <w:widowControl/>
              <w:jc w:val="center"/>
              <w:rPr>
                <w:rFonts w:ascii="宋体" w:hAnsi="宋体" w:cs="宋体"/>
                <w:b/>
                <w:bCs/>
                <w:kern w:val="0"/>
                <w:sz w:val="22"/>
              </w:rPr>
            </w:pPr>
            <w:r w:rsidRPr="00507636">
              <w:rPr>
                <w:rFonts w:eastAsia="Arial Unicode MS"/>
                <w:b/>
                <w:bCs/>
                <w:color w:val="000000"/>
                <w:kern w:val="24"/>
                <w:sz w:val="22"/>
              </w:rPr>
              <w:t>Item</w:t>
            </w:r>
          </w:p>
        </w:tc>
        <w:tc>
          <w:tcPr>
            <w:tcW w:w="875" w:type="pct"/>
            <w:tcBorders>
              <w:top w:val="single" w:sz="4" w:space="0" w:color="auto"/>
              <w:bottom w:val="single" w:sz="4" w:space="0" w:color="auto"/>
            </w:tcBorders>
            <w:vAlign w:val="center"/>
          </w:tcPr>
          <w:p w14:paraId="20CEAA15" w14:textId="77777777" w:rsidR="00E95628" w:rsidRPr="00507636" w:rsidRDefault="004759AF" w:rsidP="00936797">
            <w:pPr>
              <w:widowControl/>
              <w:jc w:val="center"/>
              <w:textAlignment w:val="bottom"/>
              <w:rPr>
                <w:rFonts w:eastAsia="Arial Unicode MS"/>
                <w:b/>
                <w:bCs/>
                <w:color w:val="000000"/>
                <w:kern w:val="24"/>
                <w:sz w:val="22"/>
              </w:rPr>
            </w:pPr>
            <w:r w:rsidRPr="00507636">
              <w:rPr>
                <w:b/>
                <w:bCs/>
                <w:color w:val="000000"/>
                <w:kern w:val="24"/>
                <w:sz w:val="22"/>
              </w:rPr>
              <w:t>Item No.</w:t>
            </w:r>
          </w:p>
        </w:tc>
        <w:tc>
          <w:tcPr>
            <w:tcW w:w="1130" w:type="pct"/>
            <w:tcBorders>
              <w:top w:val="single" w:sz="4" w:space="0" w:color="auto"/>
              <w:bottom w:val="single" w:sz="4" w:space="0" w:color="auto"/>
            </w:tcBorders>
            <w:vAlign w:val="center"/>
          </w:tcPr>
          <w:p w14:paraId="335FAF69" w14:textId="77777777" w:rsidR="00E95628" w:rsidRPr="00507636" w:rsidRDefault="004759AF" w:rsidP="00936797">
            <w:pPr>
              <w:widowControl/>
              <w:jc w:val="center"/>
              <w:textAlignment w:val="bottom"/>
              <w:rPr>
                <w:rFonts w:ascii="Arial" w:hAnsi="Arial" w:cs="Arial"/>
                <w:b/>
                <w:bCs/>
                <w:kern w:val="0"/>
                <w:sz w:val="22"/>
              </w:rPr>
            </w:pPr>
            <w:r w:rsidRPr="00507636">
              <w:rPr>
                <w:rFonts w:eastAsia="Arial Unicode MS"/>
                <w:b/>
                <w:bCs/>
                <w:color w:val="000000"/>
                <w:kern w:val="24"/>
                <w:sz w:val="22"/>
              </w:rPr>
              <w:t>Value</w:t>
            </w:r>
          </w:p>
        </w:tc>
        <w:tc>
          <w:tcPr>
            <w:tcW w:w="690" w:type="pct"/>
            <w:tcBorders>
              <w:top w:val="single" w:sz="4" w:space="0" w:color="auto"/>
              <w:bottom w:val="single" w:sz="4" w:space="0" w:color="auto"/>
            </w:tcBorders>
            <w:vAlign w:val="center"/>
          </w:tcPr>
          <w:p w14:paraId="78D9296E" w14:textId="77777777" w:rsidR="00E95628" w:rsidRPr="00507636" w:rsidRDefault="004759AF" w:rsidP="00936797">
            <w:pPr>
              <w:widowControl/>
              <w:jc w:val="center"/>
              <w:textAlignment w:val="bottom"/>
              <w:rPr>
                <w:rFonts w:ascii="Arial" w:hAnsi="Arial" w:cs="Arial"/>
                <w:b/>
                <w:bCs/>
                <w:kern w:val="0"/>
                <w:sz w:val="22"/>
              </w:rPr>
            </w:pPr>
            <w:r w:rsidRPr="00507636">
              <w:rPr>
                <w:rFonts w:eastAsia="Arial Unicode MS"/>
                <w:b/>
                <w:bCs/>
                <w:color w:val="000000"/>
                <w:kern w:val="24"/>
                <w:sz w:val="22"/>
              </w:rPr>
              <w:t>producer</w:t>
            </w:r>
          </w:p>
        </w:tc>
      </w:tr>
      <w:tr w:rsidR="00E95628" w14:paraId="67BD49C8" w14:textId="77777777" w:rsidTr="00936797">
        <w:trPr>
          <w:trHeight w:val="567"/>
          <w:jc w:val="center"/>
        </w:trPr>
        <w:tc>
          <w:tcPr>
            <w:tcW w:w="2304" w:type="pct"/>
            <w:tcBorders>
              <w:top w:val="single" w:sz="4" w:space="0" w:color="auto"/>
            </w:tcBorders>
            <w:vAlign w:val="center"/>
          </w:tcPr>
          <w:p w14:paraId="21424214" w14:textId="77777777" w:rsidR="00E95628" w:rsidRPr="00507636" w:rsidRDefault="004759AF" w:rsidP="00936797">
            <w:pPr>
              <w:widowControl/>
              <w:jc w:val="center"/>
              <w:textAlignment w:val="bottom"/>
              <w:rPr>
                <w:rFonts w:ascii="Arial" w:hAnsi="Arial" w:cs="Arial"/>
                <w:b/>
                <w:bCs/>
                <w:kern w:val="0"/>
                <w:sz w:val="22"/>
              </w:rPr>
            </w:pPr>
            <w:r w:rsidRPr="00507636">
              <w:rPr>
                <w:b/>
                <w:bCs/>
                <w:color w:val="000000"/>
                <w:kern w:val="24"/>
                <w:sz w:val="22"/>
              </w:rPr>
              <w:t>Zearalenone (Trans-)</w:t>
            </w:r>
          </w:p>
        </w:tc>
        <w:tc>
          <w:tcPr>
            <w:tcW w:w="875" w:type="pct"/>
            <w:tcBorders>
              <w:top w:val="single" w:sz="4" w:space="0" w:color="auto"/>
            </w:tcBorders>
            <w:vAlign w:val="center"/>
          </w:tcPr>
          <w:p w14:paraId="05EDC9BE" w14:textId="77777777" w:rsidR="00E95628" w:rsidRPr="00507636" w:rsidRDefault="004759AF" w:rsidP="00936797">
            <w:pPr>
              <w:widowControl/>
              <w:jc w:val="center"/>
              <w:textAlignment w:val="bottom"/>
              <w:rPr>
                <w:rFonts w:eastAsia="Arial Unicode MS"/>
                <w:color w:val="000000"/>
                <w:kern w:val="24"/>
                <w:sz w:val="22"/>
              </w:rPr>
            </w:pPr>
            <w:r w:rsidRPr="00507636">
              <w:rPr>
                <w:rFonts w:eastAsia="Arial Unicode MS"/>
                <w:color w:val="000000"/>
                <w:kern w:val="24"/>
                <w:sz w:val="22"/>
              </w:rPr>
              <w:t>GBW10157</w:t>
            </w:r>
          </w:p>
        </w:tc>
        <w:tc>
          <w:tcPr>
            <w:tcW w:w="1130" w:type="pct"/>
            <w:tcBorders>
              <w:top w:val="single" w:sz="4" w:space="0" w:color="auto"/>
            </w:tcBorders>
            <w:vAlign w:val="center"/>
          </w:tcPr>
          <w:p w14:paraId="0E6134A6" w14:textId="4224F661" w:rsidR="00E95628" w:rsidRPr="00507636" w:rsidRDefault="00F572A9" w:rsidP="00936797">
            <w:pPr>
              <w:widowControl/>
              <w:jc w:val="center"/>
              <w:textAlignment w:val="bottom"/>
              <w:rPr>
                <w:rFonts w:ascii="Arial" w:hAnsi="Arial" w:cs="Arial"/>
                <w:kern w:val="0"/>
                <w:sz w:val="22"/>
              </w:rPr>
            </w:pPr>
            <w:r w:rsidRPr="00507636">
              <w:rPr>
                <w:rFonts w:eastAsia="Arial Unicode MS" w:hint="eastAsia"/>
                <w:color w:val="000000"/>
                <w:kern w:val="24"/>
                <w:sz w:val="22"/>
              </w:rPr>
              <w:t>(</w:t>
            </w:r>
            <w:r w:rsidR="004759AF" w:rsidRPr="00507636">
              <w:rPr>
                <w:rFonts w:eastAsia="Arial Unicode MS"/>
                <w:color w:val="000000"/>
                <w:kern w:val="24"/>
                <w:sz w:val="22"/>
              </w:rPr>
              <w:t>99.5±0.4</w:t>
            </w:r>
            <w:r w:rsidRPr="00507636">
              <w:rPr>
                <w:rFonts w:eastAsia="Arial Unicode MS"/>
                <w:color w:val="000000"/>
                <w:kern w:val="24"/>
                <w:sz w:val="22"/>
              </w:rPr>
              <w:t>)</w:t>
            </w:r>
            <w:r w:rsidR="004759AF" w:rsidRPr="00507636">
              <w:rPr>
                <w:rFonts w:eastAsia="Arial Unicode MS"/>
                <w:color w:val="000000"/>
                <w:kern w:val="24"/>
                <w:sz w:val="22"/>
              </w:rPr>
              <w:t>%</w:t>
            </w:r>
          </w:p>
        </w:tc>
        <w:tc>
          <w:tcPr>
            <w:tcW w:w="690" w:type="pct"/>
            <w:tcBorders>
              <w:top w:val="single" w:sz="4" w:space="0" w:color="auto"/>
            </w:tcBorders>
            <w:vAlign w:val="center"/>
          </w:tcPr>
          <w:p w14:paraId="422D87BE" w14:textId="77777777" w:rsidR="00E95628" w:rsidRPr="00507636" w:rsidRDefault="004759AF" w:rsidP="00936797">
            <w:pPr>
              <w:widowControl/>
              <w:jc w:val="center"/>
              <w:textAlignment w:val="bottom"/>
              <w:rPr>
                <w:rFonts w:ascii="Arial" w:hAnsi="Arial" w:cs="Arial"/>
                <w:kern w:val="0"/>
                <w:sz w:val="22"/>
              </w:rPr>
            </w:pPr>
            <w:r w:rsidRPr="00507636">
              <w:rPr>
                <w:color w:val="000000"/>
                <w:kern w:val="24"/>
                <w:sz w:val="22"/>
              </w:rPr>
              <w:t>NIM</w:t>
            </w:r>
          </w:p>
        </w:tc>
      </w:tr>
      <w:tr w:rsidR="00E95628" w14:paraId="16C21BAE" w14:textId="77777777" w:rsidTr="00936797">
        <w:trPr>
          <w:trHeight w:val="567"/>
          <w:jc w:val="center"/>
        </w:trPr>
        <w:tc>
          <w:tcPr>
            <w:tcW w:w="2304" w:type="pct"/>
            <w:vAlign w:val="center"/>
          </w:tcPr>
          <w:p w14:paraId="63C45B9D" w14:textId="77777777" w:rsidR="00E95628" w:rsidRPr="00507636" w:rsidRDefault="004759AF" w:rsidP="00936797">
            <w:pPr>
              <w:widowControl/>
              <w:jc w:val="center"/>
              <w:textAlignment w:val="bottom"/>
              <w:rPr>
                <w:rFonts w:ascii="Arial" w:hAnsi="Arial" w:cs="Arial"/>
                <w:b/>
                <w:bCs/>
                <w:kern w:val="0"/>
                <w:sz w:val="22"/>
              </w:rPr>
            </w:pPr>
            <w:r w:rsidRPr="00507636">
              <w:rPr>
                <w:b/>
                <w:bCs/>
                <w:color w:val="000000"/>
                <w:kern w:val="24"/>
                <w:sz w:val="22"/>
              </w:rPr>
              <w:t>Zearalenone (Trans-)</w:t>
            </w:r>
          </w:p>
        </w:tc>
        <w:tc>
          <w:tcPr>
            <w:tcW w:w="875" w:type="pct"/>
            <w:vAlign w:val="center"/>
          </w:tcPr>
          <w:p w14:paraId="7EFB8DB1" w14:textId="77777777" w:rsidR="00E95628" w:rsidRPr="00507636" w:rsidRDefault="004759AF" w:rsidP="00936797">
            <w:pPr>
              <w:widowControl/>
              <w:jc w:val="center"/>
              <w:textAlignment w:val="bottom"/>
              <w:rPr>
                <w:rFonts w:eastAsia="Arial Unicode MS"/>
                <w:color w:val="000000"/>
                <w:kern w:val="24"/>
                <w:sz w:val="22"/>
              </w:rPr>
            </w:pPr>
            <w:r w:rsidRPr="00507636">
              <w:rPr>
                <w:rFonts w:eastAsia="Arial Unicode MS"/>
                <w:color w:val="000000"/>
                <w:kern w:val="24"/>
                <w:sz w:val="22"/>
              </w:rPr>
              <w:t>NMIAP1787</w:t>
            </w:r>
          </w:p>
        </w:tc>
        <w:tc>
          <w:tcPr>
            <w:tcW w:w="1130" w:type="pct"/>
            <w:vAlign w:val="center"/>
          </w:tcPr>
          <w:p w14:paraId="1377C294" w14:textId="453B8640" w:rsidR="00E95628" w:rsidRPr="00507636" w:rsidRDefault="00F572A9" w:rsidP="00936797">
            <w:pPr>
              <w:widowControl/>
              <w:jc w:val="center"/>
              <w:textAlignment w:val="bottom"/>
              <w:rPr>
                <w:rFonts w:ascii="Arial" w:hAnsi="Arial" w:cs="Arial"/>
                <w:kern w:val="0"/>
                <w:sz w:val="22"/>
              </w:rPr>
            </w:pPr>
            <w:r w:rsidRPr="00507636">
              <w:rPr>
                <w:rFonts w:eastAsia="Arial Unicode MS"/>
                <w:color w:val="000000"/>
                <w:kern w:val="24"/>
                <w:sz w:val="22"/>
              </w:rPr>
              <w:t>(</w:t>
            </w:r>
            <w:r w:rsidR="004759AF" w:rsidRPr="00507636">
              <w:rPr>
                <w:rFonts w:eastAsia="Arial Unicode MS"/>
                <w:color w:val="000000"/>
                <w:kern w:val="24"/>
                <w:sz w:val="22"/>
              </w:rPr>
              <w:t>99.9±0.3</w:t>
            </w:r>
            <w:r w:rsidRPr="00507636">
              <w:rPr>
                <w:rFonts w:eastAsia="Arial Unicode MS"/>
                <w:color w:val="000000"/>
                <w:kern w:val="24"/>
                <w:sz w:val="22"/>
              </w:rPr>
              <w:t>)</w:t>
            </w:r>
            <w:r w:rsidR="004759AF" w:rsidRPr="00507636">
              <w:rPr>
                <w:rFonts w:eastAsia="Arial Unicode MS"/>
                <w:color w:val="000000"/>
                <w:kern w:val="24"/>
                <w:sz w:val="22"/>
              </w:rPr>
              <w:t>%</w:t>
            </w:r>
          </w:p>
        </w:tc>
        <w:tc>
          <w:tcPr>
            <w:tcW w:w="690" w:type="pct"/>
            <w:vAlign w:val="center"/>
          </w:tcPr>
          <w:p w14:paraId="7470643B" w14:textId="77777777" w:rsidR="00E95628" w:rsidRPr="00507636" w:rsidRDefault="004759AF" w:rsidP="00936797">
            <w:pPr>
              <w:widowControl/>
              <w:jc w:val="center"/>
              <w:textAlignment w:val="bottom"/>
              <w:rPr>
                <w:rFonts w:ascii="Arial" w:hAnsi="Arial" w:cs="Arial"/>
                <w:kern w:val="0"/>
                <w:sz w:val="22"/>
              </w:rPr>
            </w:pPr>
            <w:r w:rsidRPr="00507636">
              <w:rPr>
                <w:rFonts w:eastAsia="Arial Unicode MS"/>
                <w:color w:val="000000"/>
                <w:kern w:val="24"/>
                <w:sz w:val="22"/>
              </w:rPr>
              <w:t>NMIA</w:t>
            </w:r>
          </w:p>
        </w:tc>
      </w:tr>
      <w:tr w:rsidR="00E95628" w:rsidRPr="005907D6" w14:paraId="63201292" w14:textId="77777777" w:rsidTr="00936797">
        <w:trPr>
          <w:trHeight w:val="567"/>
          <w:jc w:val="center"/>
        </w:trPr>
        <w:tc>
          <w:tcPr>
            <w:tcW w:w="2304" w:type="pct"/>
            <w:vAlign w:val="center"/>
          </w:tcPr>
          <w:p w14:paraId="2FAC9996" w14:textId="77777777" w:rsidR="00E95628" w:rsidRPr="00507636" w:rsidRDefault="004759AF" w:rsidP="00936797">
            <w:pPr>
              <w:widowControl/>
              <w:jc w:val="center"/>
              <w:textAlignment w:val="bottom"/>
              <w:rPr>
                <w:rFonts w:ascii="Arial" w:hAnsi="Arial" w:cs="Arial"/>
                <w:b/>
                <w:bCs/>
                <w:kern w:val="0"/>
                <w:sz w:val="22"/>
              </w:rPr>
            </w:pPr>
            <w:r w:rsidRPr="00507636">
              <w:rPr>
                <w:b/>
                <w:bCs/>
                <w:color w:val="000000"/>
                <w:kern w:val="24"/>
                <w:sz w:val="22"/>
              </w:rPr>
              <w:t>Zearalenone in acetonitrile (Trans-)</w:t>
            </w:r>
          </w:p>
        </w:tc>
        <w:tc>
          <w:tcPr>
            <w:tcW w:w="875" w:type="pct"/>
            <w:vAlign w:val="center"/>
          </w:tcPr>
          <w:p w14:paraId="0B8CCBE3" w14:textId="77777777" w:rsidR="00E95628" w:rsidRPr="00507636" w:rsidRDefault="004759AF" w:rsidP="00936797">
            <w:pPr>
              <w:widowControl/>
              <w:jc w:val="center"/>
              <w:textAlignment w:val="bottom"/>
              <w:rPr>
                <w:rFonts w:eastAsia="Arial Unicode MS"/>
                <w:color w:val="000000"/>
                <w:kern w:val="24"/>
                <w:sz w:val="22"/>
              </w:rPr>
            </w:pPr>
            <w:r w:rsidRPr="00507636">
              <w:rPr>
                <w:rFonts w:eastAsia="Arial Unicode MS"/>
                <w:color w:val="000000"/>
                <w:kern w:val="24"/>
                <w:sz w:val="22"/>
              </w:rPr>
              <w:t>GBW10160</w:t>
            </w:r>
          </w:p>
        </w:tc>
        <w:tc>
          <w:tcPr>
            <w:tcW w:w="1130" w:type="pct"/>
            <w:vAlign w:val="center"/>
          </w:tcPr>
          <w:p w14:paraId="33768660" w14:textId="4C39AEFE" w:rsidR="00E95628" w:rsidRPr="00507636" w:rsidRDefault="004759AF" w:rsidP="00936797">
            <w:pPr>
              <w:widowControl/>
              <w:jc w:val="center"/>
              <w:textAlignment w:val="bottom"/>
              <w:rPr>
                <w:rFonts w:ascii="Arial" w:hAnsi="Arial" w:cs="Arial"/>
                <w:kern w:val="0"/>
                <w:sz w:val="22"/>
              </w:rPr>
            </w:pPr>
            <w:r w:rsidRPr="00507636">
              <w:rPr>
                <w:rFonts w:eastAsia="Arial Unicode MS"/>
                <w:color w:val="000000"/>
                <w:kern w:val="24"/>
                <w:sz w:val="22"/>
              </w:rPr>
              <w:t xml:space="preserve">11.0 </w:t>
            </w:r>
            <w:r w:rsidR="005907D6" w:rsidRPr="00507636">
              <w:rPr>
                <w:rFonts w:eastAsia="Arial Unicode MS"/>
                <w:color w:val="000000"/>
                <w:kern w:val="24"/>
                <w:sz w:val="22"/>
              </w:rPr>
              <w:t xml:space="preserve">(1±0.02) </w:t>
            </w:r>
            <w:r w:rsidRPr="00507636">
              <w:rPr>
                <w:rFonts w:eastAsia="Arial Unicode MS"/>
                <w:color w:val="000000"/>
                <w:kern w:val="24"/>
                <w:sz w:val="22"/>
              </w:rPr>
              <w:t xml:space="preserve">μg/mL  </w:t>
            </w:r>
          </w:p>
        </w:tc>
        <w:tc>
          <w:tcPr>
            <w:tcW w:w="690" w:type="pct"/>
            <w:vAlign w:val="center"/>
          </w:tcPr>
          <w:p w14:paraId="650DF294" w14:textId="77777777" w:rsidR="00E95628" w:rsidRPr="00507636" w:rsidRDefault="004759AF" w:rsidP="00936797">
            <w:pPr>
              <w:widowControl/>
              <w:jc w:val="center"/>
              <w:textAlignment w:val="bottom"/>
              <w:rPr>
                <w:rFonts w:ascii="Arial" w:hAnsi="Arial" w:cs="Arial"/>
                <w:kern w:val="0"/>
                <w:sz w:val="22"/>
              </w:rPr>
            </w:pPr>
            <w:r w:rsidRPr="00507636">
              <w:rPr>
                <w:color w:val="000000"/>
                <w:kern w:val="24"/>
                <w:sz w:val="22"/>
              </w:rPr>
              <w:t>NIM</w:t>
            </w:r>
          </w:p>
        </w:tc>
      </w:tr>
      <w:tr w:rsidR="00E95628" w:rsidRPr="005907D6" w14:paraId="19797456" w14:textId="77777777" w:rsidTr="00936797">
        <w:trPr>
          <w:trHeight w:val="567"/>
          <w:jc w:val="center"/>
        </w:trPr>
        <w:tc>
          <w:tcPr>
            <w:tcW w:w="2304" w:type="pct"/>
            <w:vAlign w:val="center"/>
          </w:tcPr>
          <w:p w14:paraId="60756013" w14:textId="77777777" w:rsidR="00E95628" w:rsidRPr="00507636" w:rsidRDefault="004759AF" w:rsidP="00936797">
            <w:pPr>
              <w:widowControl/>
              <w:jc w:val="center"/>
              <w:textAlignment w:val="bottom"/>
              <w:rPr>
                <w:rFonts w:ascii="Arial" w:hAnsi="Arial" w:cs="Arial"/>
                <w:b/>
                <w:bCs/>
                <w:kern w:val="0"/>
                <w:sz w:val="22"/>
              </w:rPr>
            </w:pPr>
            <w:r w:rsidRPr="00507636">
              <w:rPr>
                <w:b/>
                <w:bCs/>
                <w:color w:val="000000"/>
                <w:kern w:val="24"/>
                <w:sz w:val="22"/>
              </w:rPr>
              <w:t>Zearalenone in acetonitrile (Trans-)</w:t>
            </w:r>
          </w:p>
        </w:tc>
        <w:tc>
          <w:tcPr>
            <w:tcW w:w="875" w:type="pct"/>
            <w:vAlign w:val="center"/>
          </w:tcPr>
          <w:p w14:paraId="11F3AE78" w14:textId="77777777" w:rsidR="00E95628" w:rsidRPr="00507636" w:rsidRDefault="004759AF" w:rsidP="00936797">
            <w:pPr>
              <w:widowControl/>
              <w:jc w:val="center"/>
              <w:textAlignment w:val="bottom"/>
              <w:rPr>
                <w:rFonts w:eastAsia="Arial Unicode MS"/>
                <w:color w:val="000000"/>
                <w:kern w:val="24"/>
                <w:sz w:val="22"/>
              </w:rPr>
            </w:pPr>
            <w:r w:rsidRPr="00507636">
              <w:rPr>
                <w:rFonts w:eastAsia="Arial Unicode MS"/>
                <w:color w:val="000000"/>
                <w:kern w:val="24"/>
                <w:sz w:val="22"/>
              </w:rPr>
              <w:t>GBW10161</w:t>
            </w:r>
          </w:p>
        </w:tc>
        <w:tc>
          <w:tcPr>
            <w:tcW w:w="1130" w:type="pct"/>
            <w:vAlign w:val="center"/>
          </w:tcPr>
          <w:p w14:paraId="4C78E4D8" w14:textId="0541ECC0" w:rsidR="00E95628" w:rsidRPr="00507636" w:rsidRDefault="004759AF" w:rsidP="00507636">
            <w:pPr>
              <w:widowControl/>
              <w:textAlignment w:val="bottom"/>
              <w:rPr>
                <w:rFonts w:ascii="Arial" w:hAnsi="Arial" w:cs="Arial"/>
                <w:kern w:val="0"/>
                <w:sz w:val="22"/>
              </w:rPr>
            </w:pPr>
            <w:r w:rsidRPr="00507636">
              <w:rPr>
                <w:rFonts w:eastAsia="Arial Unicode MS"/>
                <w:color w:val="000000"/>
                <w:kern w:val="24"/>
                <w:sz w:val="22"/>
              </w:rPr>
              <w:t>1.1</w:t>
            </w:r>
            <w:r w:rsidR="005907D6" w:rsidRPr="00507636">
              <w:rPr>
                <w:rFonts w:eastAsia="Arial Unicode MS"/>
                <w:color w:val="000000"/>
                <w:kern w:val="24"/>
                <w:sz w:val="22"/>
              </w:rPr>
              <w:t>0</w:t>
            </w:r>
            <w:r w:rsidRPr="00507636">
              <w:rPr>
                <w:rFonts w:eastAsia="Arial Unicode MS"/>
                <w:color w:val="000000"/>
                <w:kern w:val="24"/>
                <w:sz w:val="22"/>
              </w:rPr>
              <w:t xml:space="preserve"> </w:t>
            </w:r>
            <w:r w:rsidR="005907D6" w:rsidRPr="00507636">
              <w:rPr>
                <w:rFonts w:eastAsia="Arial Unicode MS"/>
                <w:color w:val="000000"/>
                <w:kern w:val="24"/>
                <w:sz w:val="22"/>
              </w:rPr>
              <w:t>(1</w:t>
            </w:r>
            <w:r w:rsidRPr="00507636">
              <w:rPr>
                <w:rFonts w:eastAsia="Arial Unicode MS"/>
                <w:color w:val="000000"/>
                <w:kern w:val="24"/>
                <w:sz w:val="22"/>
              </w:rPr>
              <w:t xml:space="preserve">± </w:t>
            </w:r>
            <w:r w:rsidR="005907D6" w:rsidRPr="00507636">
              <w:rPr>
                <w:rFonts w:eastAsia="Arial Unicode MS"/>
                <w:color w:val="000000"/>
                <w:kern w:val="24"/>
                <w:sz w:val="22"/>
              </w:rPr>
              <w:t>0.0</w:t>
            </w:r>
            <w:r w:rsidRPr="00507636">
              <w:rPr>
                <w:rFonts w:eastAsia="Arial Unicode MS"/>
                <w:color w:val="000000"/>
                <w:kern w:val="24"/>
                <w:sz w:val="22"/>
              </w:rPr>
              <w:t>3</w:t>
            </w:r>
            <w:r w:rsidR="005907D6" w:rsidRPr="00507636">
              <w:rPr>
                <w:rFonts w:eastAsia="Arial Unicode MS"/>
                <w:color w:val="000000"/>
                <w:kern w:val="24"/>
                <w:sz w:val="22"/>
              </w:rPr>
              <w:t xml:space="preserve">) μg/mL </w:t>
            </w:r>
          </w:p>
        </w:tc>
        <w:tc>
          <w:tcPr>
            <w:tcW w:w="690" w:type="pct"/>
            <w:vAlign w:val="center"/>
          </w:tcPr>
          <w:p w14:paraId="54F01599" w14:textId="77777777" w:rsidR="00E95628" w:rsidRPr="00507636" w:rsidRDefault="004759AF" w:rsidP="00936797">
            <w:pPr>
              <w:widowControl/>
              <w:jc w:val="center"/>
              <w:textAlignment w:val="bottom"/>
              <w:rPr>
                <w:rFonts w:ascii="Arial" w:hAnsi="Arial" w:cs="Arial"/>
                <w:kern w:val="0"/>
                <w:sz w:val="22"/>
              </w:rPr>
            </w:pPr>
            <w:r w:rsidRPr="00507636">
              <w:rPr>
                <w:color w:val="000000"/>
                <w:kern w:val="24"/>
                <w:sz w:val="22"/>
              </w:rPr>
              <w:t>NIM</w:t>
            </w:r>
          </w:p>
        </w:tc>
      </w:tr>
      <w:tr w:rsidR="00E95628" w:rsidRPr="005907D6" w14:paraId="785F5EFB" w14:textId="77777777" w:rsidTr="00936797">
        <w:trPr>
          <w:trHeight w:val="567"/>
          <w:jc w:val="center"/>
        </w:trPr>
        <w:tc>
          <w:tcPr>
            <w:tcW w:w="2304" w:type="pct"/>
            <w:tcBorders>
              <w:bottom w:val="single" w:sz="4" w:space="0" w:color="auto"/>
            </w:tcBorders>
            <w:vAlign w:val="center"/>
          </w:tcPr>
          <w:p w14:paraId="6370D457" w14:textId="77777777" w:rsidR="00E95628" w:rsidRPr="00507636" w:rsidRDefault="004759AF" w:rsidP="00936797">
            <w:pPr>
              <w:widowControl/>
              <w:jc w:val="center"/>
              <w:textAlignment w:val="bottom"/>
              <w:rPr>
                <w:b/>
                <w:bCs/>
                <w:color w:val="000000"/>
                <w:kern w:val="24"/>
                <w:sz w:val="22"/>
              </w:rPr>
            </w:pPr>
            <w:r w:rsidRPr="00507636">
              <w:rPr>
                <w:b/>
                <w:bCs/>
                <w:color w:val="000000"/>
                <w:kern w:val="24"/>
                <w:sz w:val="22"/>
              </w:rPr>
              <w:t>Zearalenone in acetonitrile (1 mL)</w:t>
            </w:r>
          </w:p>
        </w:tc>
        <w:tc>
          <w:tcPr>
            <w:tcW w:w="875" w:type="pct"/>
            <w:tcBorders>
              <w:bottom w:val="single" w:sz="4" w:space="0" w:color="auto"/>
            </w:tcBorders>
            <w:vAlign w:val="center"/>
          </w:tcPr>
          <w:p w14:paraId="7A8F0A48" w14:textId="77777777" w:rsidR="00E95628" w:rsidRPr="00507636" w:rsidRDefault="004759AF" w:rsidP="00936797">
            <w:pPr>
              <w:widowControl/>
              <w:jc w:val="center"/>
              <w:textAlignment w:val="bottom"/>
              <w:rPr>
                <w:rFonts w:eastAsia="Arial Unicode MS"/>
                <w:color w:val="000000"/>
                <w:kern w:val="24"/>
                <w:sz w:val="22"/>
              </w:rPr>
            </w:pPr>
            <w:r w:rsidRPr="00507636">
              <w:rPr>
                <w:rFonts w:eastAsia="Arial Unicode MS"/>
                <w:color w:val="000000"/>
                <w:kern w:val="24"/>
                <w:sz w:val="22"/>
              </w:rPr>
              <w:t>CRM0005</w:t>
            </w:r>
          </w:p>
        </w:tc>
        <w:tc>
          <w:tcPr>
            <w:tcW w:w="1130" w:type="pct"/>
            <w:tcBorders>
              <w:bottom w:val="single" w:sz="4" w:space="0" w:color="auto"/>
            </w:tcBorders>
            <w:vAlign w:val="center"/>
          </w:tcPr>
          <w:p w14:paraId="5C8A75F3" w14:textId="7054A56B" w:rsidR="00E95628" w:rsidRPr="00507636" w:rsidRDefault="00DF268E" w:rsidP="00936797">
            <w:pPr>
              <w:widowControl/>
              <w:jc w:val="center"/>
              <w:textAlignment w:val="bottom"/>
              <w:rPr>
                <w:rFonts w:eastAsia="Arial Unicode MS"/>
                <w:color w:val="000000"/>
                <w:kern w:val="24"/>
                <w:sz w:val="22"/>
              </w:rPr>
            </w:pPr>
            <w:r w:rsidRPr="00507636">
              <w:rPr>
                <w:rFonts w:eastAsia="Arial Unicode MS"/>
                <w:color w:val="000000"/>
                <w:kern w:val="24"/>
                <w:sz w:val="22"/>
              </w:rPr>
              <w:t>(</w:t>
            </w:r>
            <w:r w:rsidR="004759AF" w:rsidRPr="00507636">
              <w:rPr>
                <w:rFonts w:eastAsia="Arial Unicode MS"/>
                <w:color w:val="000000"/>
                <w:kern w:val="24"/>
                <w:sz w:val="22"/>
              </w:rPr>
              <w:t>126.4 ± 3.2</w:t>
            </w:r>
            <w:r w:rsidRPr="00507636">
              <w:rPr>
                <w:rFonts w:eastAsia="Arial Unicode MS"/>
                <w:color w:val="000000"/>
                <w:kern w:val="24"/>
                <w:sz w:val="22"/>
              </w:rPr>
              <w:t>)</w:t>
            </w:r>
            <w:r w:rsidR="004759AF" w:rsidRPr="00507636">
              <w:rPr>
                <w:rFonts w:eastAsia="Arial Unicode MS"/>
                <w:color w:val="000000"/>
                <w:kern w:val="24"/>
                <w:sz w:val="22"/>
              </w:rPr>
              <w:t xml:space="preserve"> μg/g</w:t>
            </w:r>
          </w:p>
        </w:tc>
        <w:tc>
          <w:tcPr>
            <w:tcW w:w="690" w:type="pct"/>
            <w:tcBorders>
              <w:bottom w:val="single" w:sz="4" w:space="0" w:color="auto"/>
            </w:tcBorders>
            <w:vAlign w:val="center"/>
          </w:tcPr>
          <w:p w14:paraId="46DBC69D" w14:textId="77777777" w:rsidR="00E95628" w:rsidRPr="00507636" w:rsidRDefault="004759AF" w:rsidP="00936797">
            <w:pPr>
              <w:widowControl/>
              <w:jc w:val="center"/>
              <w:textAlignment w:val="bottom"/>
              <w:rPr>
                <w:color w:val="000000"/>
                <w:kern w:val="24"/>
                <w:sz w:val="22"/>
              </w:rPr>
            </w:pPr>
            <w:r w:rsidRPr="00507636">
              <w:rPr>
                <w:color w:val="000000"/>
                <w:kern w:val="24"/>
                <w:sz w:val="22"/>
              </w:rPr>
              <w:t>NMISA</w:t>
            </w:r>
          </w:p>
        </w:tc>
      </w:tr>
    </w:tbl>
    <w:p w14:paraId="7DCBBD3D" w14:textId="77777777" w:rsidR="00E95628" w:rsidRDefault="00E95628">
      <w:pPr>
        <w:pStyle w:val="ae"/>
        <w:spacing w:line="360" w:lineRule="auto"/>
        <w:jc w:val="both"/>
        <w:rPr>
          <w:szCs w:val="24"/>
          <w:lang w:eastAsia="zh-CN"/>
        </w:rPr>
      </w:pPr>
    </w:p>
    <w:p w14:paraId="0F167869" w14:textId="77777777" w:rsidR="00507636" w:rsidRDefault="00507636">
      <w:pPr>
        <w:pStyle w:val="ae"/>
        <w:spacing w:line="360" w:lineRule="auto"/>
        <w:jc w:val="center"/>
        <w:rPr>
          <w:b/>
          <w:bCs/>
          <w:color w:val="000000"/>
          <w:szCs w:val="24"/>
        </w:rPr>
      </w:pPr>
    </w:p>
    <w:p w14:paraId="266B36B3" w14:textId="77777777" w:rsidR="00507636" w:rsidRDefault="00507636">
      <w:pPr>
        <w:pStyle w:val="ae"/>
        <w:spacing w:line="360" w:lineRule="auto"/>
        <w:jc w:val="center"/>
        <w:rPr>
          <w:b/>
          <w:bCs/>
          <w:color w:val="000000"/>
          <w:szCs w:val="24"/>
        </w:rPr>
      </w:pPr>
    </w:p>
    <w:p w14:paraId="0C27C952" w14:textId="6C161687" w:rsidR="00E95628" w:rsidRDefault="004759AF">
      <w:pPr>
        <w:pStyle w:val="ae"/>
        <w:spacing w:line="360" w:lineRule="auto"/>
        <w:jc w:val="center"/>
        <w:rPr>
          <w:b/>
          <w:bCs/>
          <w:color w:val="000000"/>
          <w:szCs w:val="24"/>
        </w:rPr>
      </w:pPr>
      <w:r>
        <w:rPr>
          <w:b/>
          <w:bCs/>
          <w:color w:val="000000"/>
          <w:szCs w:val="24"/>
        </w:rPr>
        <w:lastRenderedPageBreak/>
        <w:t xml:space="preserve">Table </w:t>
      </w:r>
      <w:r w:rsidR="00C4721A">
        <w:rPr>
          <w:b/>
          <w:bCs/>
          <w:color w:val="000000"/>
          <w:szCs w:val="24"/>
        </w:rPr>
        <w:t>3</w:t>
      </w:r>
      <w:r>
        <w:rPr>
          <w:b/>
          <w:bCs/>
          <w:color w:val="000000"/>
          <w:szCs w:val="24"/>
        </w:rPr>
        <w:t xml:space="preserve"> List of isotopically labeled ZEN internal standards</w:t>
      </w:r>
    </w:p>
    <w:tbl>
      <w:tblPr>
        <w:tblW w:w="0" w:type="auto"/>
        <w:tblBorders>
          <w:top w:val="single" w:sz="4" w:space="0" w:color="7F7F7F"/>
          <w:bottom w:val="single" w:sz="4" w:space="0" w:color="7F7F7F"/>
        </w:tblBorders>
        <w:tblLayout w:type="fixed"/>
        <w:tblLook w:val="04A0" w:firstRow="1" w:lastRow="0" w:firstColumn="1" w:lastColumn="0" w:noHBand="0" w:noVBand="1"/>
      </w:tblPr>
      <w:tblGrid>
        <w:gridCol w:w="1560"/>
        <w:gridCol w:w="3590"/>
        <w:gridCol w:w="2647"/>
        <w:gridCol w:w="1563"/>
      </w:tblGrid>
      <w:tr w:rsidR="00E95628" w:rsidRPr="00507636" w14:paraId="4C4A1A86" w14:textId="77777777" w:rsidTr="00936797">
        <w:tc>
          <w:tcPr>
            <w:tcW w:w="1560" w:type="dxa"/>
            <w:tcBorders>
              <w:top w:val="single" w:sz="4" w:space="0" w:color="auto"/>
              <w:bottom w:val="single" w:sz="4" w:space="0" w:color="7F7F7F"/>
            </w:tcBorders>
            <w:vAlign w:val="center"/>
          </w:tcPr>
          <w:p w14:paraId="6D630183" w14:textId="77777777" w:rsidR="00E95628" w:rsidRPr="00507636" w:rsidRDefault="004759AF">
            <w:pPr>
              <w:widowControl/>
              <w:spacing w:line="360" w:lineRule="auto"/>
              <w:jc w:val="center"/>
              <w:rPr>
                <w:rFonts w:ascii="Arial" w:hAnsi="Arial" w:cs="Arial"/>
                <w:b/>
                <w:bCs/>
                <w:kern w:val="0"/>
                <w:sz w:val="22"/>
              </w:rPr>
            </w:pPr>
            <w:r w:rsidRPr="00507636">
              <w:rPr>
                <w:b/>
                <w:bCs/>
                <w:color w:val="000000"/>
                <w:kern w:val="0"/>
                <w:sz w:val="22"/>
              </w:rPr>
              <w:t>Producer</w:t>
            </w:r>
          </w:p>
        </w:tc>
        <w:tc>
          <w:tcPr>
            <w:tcW w:w="3590" w:type="dxa"/>
            <w:tcBorders>
              <w:top w:val="single" w:sz="4" w:space="0" w:color="auto"/>
              <w:bottom w:val="single" w:sz="4" w:space="0" w:color="7F7F7F"/>
            </w:tcBorders>
            <w:vAlign w:val="center"/>
          </w:tcPr>
          <w:p w14:paraId="0A3DFDAC" w14:textId="77777777" w:rsidR="00E95628" w:rsidRPr="00507636" w:rsidRDefault="004759AF">
            <w:pPr>
              <w:widowControl/>
              <w:spacing w:line="360" w:lineRule="auto"/>
              <w:jc w:val="center"/>
              <w:rPr>
                <w:rFonts w:ascii="Arial" w:hAnsi="Arial" w:cs="Arial"/>
                <w:b/>
                <w:bCs/>
                <w:kern w:val="0"/>
                <w:sz w:val="22"/>
              </w:rPr>
            </w:pPr>
            <w:r w:rsidRPr="00507636">
              <w:rPr>
                <w:b/>
                <w:bCs/>
                <w:color w:val="000000"/>
                <w:kern w:val="0"/>
                <w:sz w:val="22"/>
              </w:rPr>
              <w:t>Isotope</w:t>
            </w:r>
          </w:p>
        </w:tc>
        <w:tc>
          <w:tcPr>
            <w:tcW w:w="2647" w:type="dxa"/>
            <w:tcBorders>
              <w:top w:val="single" w:sz="4" w:space="0" w:color="auto"/>
              <w:bottom w:val="single" w:sz="4" w:space="0" w:color="7F7F7F"/>
            </w:tcBorders>
            <w:vAlign w:val="center"/>
          </w:tcPr>
          <w:p w14:paraId="0739655D" w14:textId="77777777" w:rsidR="00E95628" w:rsidRPr="00507636" w:rsidRDefault="004759AF">
            <w:pPr>
              <w:widowControl/>
              <w:spacing w:line="360" w:lineRule="auto"/>
              <w:jc w:val="center"/>
              <w:rPr>
                <w:rFonts w:ascii="Arial" w:hAnsi="Arial" w:cs="Arial"/>
                <w:b/>
                <w:bCs/>
                <w:kern w:val="0"/>
                <w:sz w:val="22"/>
              </w:rPr>
            </w:pPr>
            <w:r w:rsidRPr="00507636">
              <w:rPr>
                <w:b/>
                <w:bCs/>
                <w:color w:val="000000"/>
                <w:kern w:val="0"/>
                <w:sz w:val="22"/>
              </w:rPr>
              <w:t>Concentration</w:t>
            </w:r>
          </w:p>
        </w:tc>
        <w:tc>
          <w:tcPr>
            <w:tcW w:w="1563" w:type="dxa"/>
            <w:tcBorders>
              <w:top w:val="single" w:sz="4" w:space="0" w:color="auto"/>
              <w:bottom w:val="single" w:sz="4" w:space="0" w:color="7F7F7F"/>
            </w:tcBorders>
            <w:vAlign w:val="center"/>
          </w:tcPr>
          <w:p w14:paraId="3FF244E7" w14:textId="77777777" w:rsidR="00E95628" w:rsidRPr="00507636" w:rsidRDefault="004759AF">
            <w:pPr>
              <w:widowControl/>
              <w:spacing w:line="360" w:lineRule="auto"/>
              <w:jc w:val="center"/>
              <w:rPr>
                <w:rFonts w:ascii="Arial" w:hAnsi="Arial" w:cs="Arial"/>
                <w:b/>
                <w:bCs/>
                <w:kern w:val="0"/>
                <w:sz w:val="22"/>
              </w:rPr>
            </w:pPr>
            <w:r w:rsidRPr="00507636">
              <w:rPr>
                <w:b/>
                <w:bCs/>
                <w:color w:val="000000"/>
                <w:kern w:val="0"/>
                <w:sz w:val="22"/>
              </w:rPr>
              <w:t>Item No.</w:t>
            </w:r>
          </w:p>
        </w:tc>
      </w:tr>
      <w:tr w:rsidR="00E95628" w:rsidRPr="00507636" w14:paraId="6A24D333" w14:textId="77777777" w:rsidTr="00936797">
        <w:tc>
          <w:tcPr>
            <w:tcW w:w="1560" w:type="dxa"/>
            <w:tcBorders>
              <w:top w:val="single" w:sz="4" w:space="0" w:color="7F7F7F"/>
              <w:bottom w:val="single" w:sz="4" w:space="0" w:color="auto"/>
            </w:tcBorders>
            <w:vAlign w:val="center"/>
          </w:tcPr>
          <w:p w14:paraId="51E860E5" w14:textId="77777777" w:rsidR="00E95628" w:rsidRPr="00507636" w:rsidRDefault="004759AF">
            <w:pPr>
              <w:widowControl/>
              <w:spacing w:line="360" w:lineRule="auto"/>
              <w:jc w:val="center"/>
              <w:rPr>
                <w:rFonts w:ascii="Arial" w:hAnsi="Arial" w:cs="Arial"/>
                <w:b/>
                <w:bCs/>
                <w:kern w:val="0"/>
                <w:sz w:val="22"/>
              </w:rPr>
            </w:pPr>
            <w:r w:rsidRPr="00507636">
              <w:rPr>
                <w:b/>
                <w:bCs/>
                <w:color w:val="000000"/>
                <w:kern w:val="0"/>
                <w:sz w:val="22"/>
              </w:rPr>
              <w:t>Romer labs</w:t>
            </w:r>
          </w:p>
        </w:tc>
        <w:tc>
          <w:tcPr>
            <w:tcW w:w="3590" w:type="dxa"/>
            <w:tcBorders>
              <w:top w:val="single" w:sz="4" w:space="0" w:color="7F7F7F"/>
              <w:bottom w:val="single" w:sz="4" w:space="0" w:color="auto"/>
            </w:tcBorders>
            <w:vAlign w:val="center"/>
          </w:tcPr>
          <w:p w14:paraId="5AD9FF57" w14:textId="194C3CA1" w:rsidR="00E95628" w:rsidRPr="00507636" w:rsidRDefault="004759AF">
            <w:pPr>
              <w:widowControl/>
              <w:spacing w:line="360" w:lineRule="auto"/>
              <w:jc w:val="center"/>
              <w:rPr>
                <w:rFonts w:ascii="Arial" w:hAnsi="Arial" w:cs="Arial"/>
                <w:kern w:val="0"/>
                <w:sz w:val="22"/>
              </w:rPr>
            </w:pPr>
            <w:r w:rsidRPr="00507636">
              <w:rPr>
                <w:color w:val="000000"/>
                <w:kern w:val="0"/>
                <w:sz w:val="22"/>
              </w:rPr>
              <w:t>U-[</w:t>
            </w:r>
            <w:r w:rsidRPr="00507636">
              <w:rPr>
                <w:color w:val="000000"/>
                <w:kern w:val="0"/>
                <w:position w:val="11"/>
                <w:sz w:val="22"/>
                <w:vertAlign w:val="superscript"/>
              </w:rPr>
              <w:t>13</w:t>
            </w:r>
            <w:r w:rsidRPr="00507636">
              <w:rPr>
                <w:color w:val="000000"/>
                <w:kern w:val="0"/>
                <w:sz w:val="22"/>
              </w:rPr>
              <w:t>C</w:t>
            </w:r>
            <w:r w:rsidRPr="00507636">
              <w:rPr>
                <w:color w:val="000000"/>
                <w:kern w:val="0"/>
                <w:position w:val="-9"/>
                <w:sz w:val="22"/>
                <w:vertAlign w:val="subscript"/>
              </w:rPr>
              <w:t>18</w:t>
            </w:r>
            <w:r w:rsidRPr="00507636">
              <w:rPr>
                <w:color w:val="000000"/>
                <w:kern w:val="0"/>
                <w:sz w:val="22"/>
              </w:rPr>
              <w:t>]-Zearalenone</w:t>
            </w:r>
            <w:r w:rsidR="00DE38A6" w:rsidRPr="00507636">
              <w:rPr>
                <w:color w:val="000000"/>
                <w:kern w:val="0"/>
                <w:sz w:val="22"/>
              </w:rPr>
              <w:t xml:space="preserve"> in acetonitrile</w:t>
            </w:r>
          </w:p>
        </w:tc>
        <w:tc>
          <w:tcPr>
            <w:tcW w:w="2647" w:type="dxa"/>
            <w:tcBorders>
              <w:top w:val="single" w:sz="4" w:space="0" w:color="7F7F7F"/>
              <w:bottom w:val="single" w:sz="4" w:space="0" w:color="auto"/>
            </w:tcBorders>
            <w:vAlign w:val="center"/>
          </w:tcPr>
          <w:p w14:paraId="782597C0" w14:textId="733DDE5A" w:rsidR="00E95628" w:rsidRPr="00507636" w:rsidRDefault="004759AF">
            <w:pPr>
              <w:widowControl/>
              <w:spacing w:line="360" w:lineRule="auto"/>
              <w:jc w:val="center"/>
              <w:rPr>
                <w:rFonts w:ascii="Arial" w:hAnsi="Arial" w:cs="Arial"/>
                <w:kern w:val="0"/>
                <w:sz w:val="22"/>
              </w:rPr>
            </w:pPr>
            <w:r w:rsidRPr="00507636">
              <w:rPr>
                <w:color w:val="000000"/>
                <w:kern w:val="0"/>
                <w:sz w:val="22"/>
              </w:rPr>
              <w:t xml:space="preserve">25.1 μg/mL </w:t>
            </w:r>
          </w:p>
        </w:tc>
        <w:tc>
          <w:tcPr>
            <w:tcW w:w="1563" w:type="dxa"/>
            <w:tcBorders>
              <w:top w:val="single" w:sz="4" w:space="0" w:color="7F7F7F"/>
              <w:bottom w:val="single" w:sz="4" w:space="0" w:color="auto"/>
            </w:tcBorders>
            <w:vAlign w:val="center"/>
          </w:tcPr>
          <w:p w14:paraId="553B9736" w14:textId="77777777" w:rsidR="00E95628" w:rsidRPr="00507636" w:rsidRDefault="004759AF">
            <w:pPr>
              <w:widowControl/>
              <w:spacing w:line="360" w:lineRule="auto"/>
              <w:jc w:val="center"/>
              <w:rPr>
                <w:rFonts w:ascii="Arial" w:hAnsi="Arial" w:cs="Arial"/>
                <w:kern w:val="0"/>
                <w:sz w:val="22"/>
              </w:rPr>
            </w:pPr>
            <w:r w:rsidRPr="00507636">
              <w:rPr>
                <w:color w:val="000000"/>
                <w:kern w:val="0"/>
                <w:sz w:val="22"/>
              </w:rPr>
              <w:t>ILM009</w:t>
            </w:r>
          </w:p>
        </w:tc>
      </w:tr>
      <w:tr w:rsidR="00E95628" w:rsidRPr="00507636" w14:paraId="48126EA4" w14:textId="77777777" w:rsidTr="00936797">
        <w:tc>
          <w:tcPr>
            <w:tcW w:w="1560" w:type="dxa"/>
            <w:tcBorders>
              <w:top w:val="single" w:sz="4" w:space="0" w:color="auto"/>
              <w:bottom w:val="single" w:sz="4" w:space="0" w:color="auto"/>
            </w:tcBorders>
            <w:vAlign w:val="center"/>
          </w:tcPr>
          <w:p w14:paraId="21C72A8A" w14:textId="77777777" w:rsidR="00E95628" w:rsidRPr="00507636" w:rsidRDefault="004759AF">
            <w:pPr>
              <w:widowControl/>
              <w:spacing w:line="360" w:lineRule="auto"/>
              <w:jc w:val="center"/>
              <w:rPr>
                <w:rFonts w:ascii="Arial" w:hAnsi="Arial" w:cs="Arial"/>
                <w:b/>
                <w:bCs/>
                <w:kern w:val="0"/>
                <w:sz w:val="22"/>
              </w:rPr>
            </w:pPr>
            <w:r w:rsidRPr="00507636">
              <w:rPr>
                <w:b/>
                <w:bCs/>
                <w:color w:val="000000"/>
                <w:kern w:val="0"/>
                <w:sz w:val="22"/>
              </w:rPr>
              <w:t>LGC</w:t>
            </w:r>
          </w:p>
        </w:tc>
        <w:tc>
          <w:tcPr>
            <w:tcW w:w="3590" w:type="dxa"/>
            <w:tcBorders>
              <w:top w:val="single" w:sz="4" w:space="0" w:color="auto"/>
              <w:bottom w:val="single" w:sz="4" w:space="0" w:color="auto"/>
            </w:tcBorders>
            <w:vAlign w:val="center"/>
          </w:tcPr>
          <w:p w14:paraId="70B7AFE5" w14:textId="29689824" w:rsidR="00E95628" w:rsidRPr="00507636" w:rsidRDefault="004759AF">
            <w:pPr>
              <w:widowControl/>
              <w:spacing w:line="360" w:lineRule="auto"/>
              <w:jc w:val="center"/>
              <w:rPr>
                <w:rFonts w:ascii="Arial" w:hAnsi="Arial" w:cs="Arial"/>
                <w:kern w:val="0"/>
                <w:sz w:val="22"/>
              </w:rPr>
            </w:pPr>
            <w:r w:rsidRPr="00507636">
              <w:rPr>
                <w:color w:val="000000"/>
                <w:kern w:val="0"/>
                <w:sz w:val="22"/>
              </w:rPr>
              <w:t>U-[</w:t>
            </w:r>
            <w:r w:rsidRPr="00507636">
              <w:rPr>
                <w:color w:val="000000"/>
                <w:kern w:val="0"/>
                <w:position w:val="11"/>
                <w:sz w:val="22"/>
                <w:vertAlign w:val="superscript"/>
              </w:rPr>
              <w:t>13</w:t>
            </w:r>
            <w:r w:rsidRPr="00507636">
              <w:rPr>
                <w:color w:val="000000"/>
                <w:kern w:val="0"/>
                <w:sz w:val="22"/>
              </w:rPr>
              <w:t>C</w:t>
            </w:r>
            <w:r w:rsidRPr="00507636">
              <w:rPr>
                <w:color w:val="000000"/>
                <w:kern w:val="0"/>
                <w:position w:val="-9"/>
                <w:sz w:val="22"/>
                <w:vertAlign w:val="subscript"/>
              </w:rPr>
              <w:t>18</w:t>
            </w:r>
            <w:r w:rsidRPr="00507636">
              <w:rPr>
                <w:color w:val="000000"/>
                <w:kern w:val="0"/>
                <w:sz w:val="22"/>
              </w:rPr>
              <w:t>]-Zearalenone</w:t>
            </w:r>
            <w:r w:rsidR="00DE38A6" w:rsidRPr="00507636">
              <w:rPr>
                <w:color w:val="000000"/>
                <w:kern w:val="0"/>
                <w:sz w:val="22"/>
              </w:rPr>
              <w:t xml:space="preserve"> in acetonitrile</w:t>
            </w:r>
          </w:p>
        </w:tc>
        <w:tc>
          <w:tcPr>
            <w:tcW w:w="2647" w:type="dxa"/>
            <w:tcBorders>
              <w:top w:val="single" w:sz="4" w:space="0" w:color="auto"/>
              <w:bottom w:val="single" w:sz="4" w:space="0" w:color="auto"/>
            </w:tcBorders>
            <w:vAlign w:val="center"/>
          </w:tcPr>
          <w:p w14:paraId="51E3D422" w14:textId="29B8C572" w:rsidR="00E95628" w:rsidRPr="00507636" w:rsidRDefault="004759AF">
            <w:pPr>
              <w:widowControl/>
              <w:spacing w:line="360" w:lineRule="auto"/>
              <w:jc w:val="center"/>
              <w:rPr>
                <w:rFonts w:ascii="Arial" w:hAnsi="Arial" w:cs="Arial"/>
                <w:kern w:val="0"/>
                <w:sz w:val="22"/>
              </w:rPr>
            </w:pPr>
            <w:r w:rsidRPr="00507636">
              <w:rPr>
                <w:color w:val="000000"/>
                <w:kern w:val="0"/>
                <w:sz w:val="22"/>
              </w:rPr>
              <w:t xml:space="preserve">25.2 μg/mL </w:t>
            </w:r>
          </w:p>
        </w:tc>
        <w:tc>
          <w:tcPr>
            <w:tcW w:w="1563" w:type="dxa"/>
            <w:tcBorders>
              <w:top w:val="single" w:sz="4" w:space="0" w:color="auto"/>
              <w:bottom w:val="single" w:sz="4" w:space="0" w:color="auto"/>
            </w:tcBorders>
            <w:vAlign w:val="center"/>
          </w:tcPr>
          <w:p w14:paraId="2C4E0494" w14:textId="77777777" w:rsidR="00E95628" w:rsidRPr="00507636" w:rsidRDefault="004759AF">
            <w:pPr>
              <w:widowControl/>
              <w:spacing w:line="360" w:lineRule="auto"/>
              <w:jc w:val="center"/>
              <w:rPr>
                <w:rFonts w:ascii="Arial" w:hAnsi="Arial" w:cs="Arial"/>
                <w:kern w:val="0"/>
                <w:sz w:val="22"/>
              </w:rPr>
            </w:pPr>
            <w:r w:rsidRPr="00507636">
              <w:rPr>
                <w:color w:val="000000"/>
                <w:kern w:val="0"/>
                <w:sz w:val="22"/>
              </w:rPr>
              <w:t>B-MYC0610</w:t>
            </w:r>
          </w:p>
        </w:tc>
      </w:tr>
    </w:tbl>
    <w:p w14:paraId="062B715C" w14:textId="77777777" w:rsidR="00E95628" w:rsidRDefault="00E95628">
      <w:pPr>
        <w:pStyle w:val="ae"/>
        <w:spacing w:line="360" w:lineRule="auto"/>
        <w:jc w:val="both"/>
        <w:rPr>
          <w:szCs w:val="24"/>
          <w:lang w:eastAsia="zh-CN"/>
        </w:rPr>
      </w:pPr>
    </w:p>
    <w:p w14:paraId="4BA8797D" w14:textId="77777777" w:rsidR="00E95628" w:rsidRDefault="004759AF">
      <w:pPr>
        <w:pStyle w:val="ae"/>
        <w:spacing w:beforeLines="100" w:before="240" w:afterLines="50" w:after="120" w:line="360" w:lineRule="auto"/>
        <w:jc w:val="both"/>
        <w:rPr>
          <w:b/>
          <w:szCs w:val="24"/>
          <w:lang w:eastAsia="zh-CN"/>
        </w:rPr>
      </w:pPr>
      <w:r>
        <w:rPr>
          <w:b/>
          <w:szCs w:val="24"/>
        </w:rPr>
        <w:t>Study Guidelines</w:t>
      </w:r>
    </w:p>
    <w:p w14:paraId="19498A8D" w14:textId="74F1D1ED" w:rsidR="00E95628" w:rsidRDefault="004759AF">
      <w:pPr>
        <w:pStyle w:val="ae"/>
        <w:spacing w:beforeLines="50" w:before="120" w:afterLines="50" w:after="120" w:line="360" w:lineRule="auto"/>
        <w:jc w:val="both"/>
        <w:rPr>
          <w:color w:val="000000"/>
          <w:szCs w:val="24"/>
          <w:lang w:eastAsia="zh-CN"/>
        </w:rPr>
      </w:pPr>
      <w:r>
        <w:rPr>
          <w:szCs w:val="24"/>
          <w:lang w:eastAsia="zh-CN"/>
        </w:rPr>
        <w:t xml:space="preserve">Each participant will receive </w:t>
      </w:r>
      <w:r>
        <w:rPr>
          <w:color w:val="000000" w:themeColor="text1"/>
          <w:szCs w:val="24"/>
          <w:lang w:eastAsia="zh-CN"/>
        </w:rPr>
        <w:t>1</w:t>
      </w:r>
      <w:r>
        <w:rPr>
          <w:rFonts w:hint="eastAsia"/>
          <w:color w:val="FF0000"/>
          <w:szCs w:val="24"/>
          <w:lang w:eastAsia="zh-CN"/>
        </w:rPr>
        <w:t xml:space="preserve"> </w:t>
      </w:r>
      <w:r>
        <w:rPr>
          <w:rFonts w:hint="eastAsia"/>
          <w:szCs w:val="24"/>
          <w:lang w:eastAsia="zh-CN"/>
        </w:rPr>
        <w:t>packet,</w:t>
      </w:r>
      <w:r>
        <w:rPr>
          <w:szCs w:val="24"/>
          <w:lang w:eastAsia="zh-CN"/>
        </w:rPr>
        <w:t xml:space="preserve"> each containing about 90 g of maize powder</w:t>
      </w:r>
      <w:r>
        <w:rPr>
          <w:rFonts w:hint="eastAsia"/>
          <w:szCs w:val="24"/>
          <w:lang w:eastAsia="zh-CN"/>
        </w:rPr>
        <w:t xml:space="preserve">. </w:t>
      </w:r>
      <w:r>
        <w:rPr>
          <w:szCs w:val="24"/>
          <w:lang w:eastAsia="zh-CN"/>
        </w:rPr>
        <w:t xml:space="preserve">A minimum </w:t>
      </w:r>
      <w:r>
        <w:rPr>
          <w:color w:val="000000"/>
          <w:szCs w:val="24"/>
          <w:lang w:eastAsia="zh-CN"/>
        </w:rPr>
        <w:t xml:space="preserve">sample intake of 5.0 g is recommended. The test sample should be stored at -20ºC in the dark. The samples should be equilibrated to room temperature (at 20 ± 5 °C and relative humidity &lt;60 %) before opening for analysis. </w:t>
      </w:r>
      <w:r>
        <w:rPr>
          <w:rFonts w:hint="eastAsia"/>
          <w:color w:val="000000"/>
          <w:szCs w:val="24"/>
          <w:lang w:eastAsia="zh-CN"/>
        </w:rPr>
        <w:t>A</w:t>
      </w:r>
      <w:r>
        <w:rPr>
          <w:color w:val="000000"/>
          <w:szCs w:val="24"/>
          <w:lang w:eastAsia="zh-CN"/>
        </w:rPr>
        <w:t>fter taking sub-sample</w:t>
      </w:r>
      <w:r>
        <w:rPr>
          <w:rFonts w:hint="eastAsia"/>
          <w:color w:val="000000"/>
          <w:szCs w:val="24"/>
          <w:lang w:eastAsia="zh-CN"/>
        </w:rPr>
        <w:t xml:space="preserve">s, </w:t>
      </w:r>
      <w:r>
        <w:rPr>
          <w:color w:val="000000"/>
          <w:szCs w:val="24"/>
          <w:lang w:eastAsia="zh-CN"/>
        </w:rPr>
        <w:t>user</w:t>
      </w:r>
      <w:r>
        <w:rPr>
          <w:rFonts w:hint="eastAsia"/>
          <w:color w:val="000000"/>
          <w:szCs w:val="24"/>
          <w:lang w:eastAsia="zh-CN"/>
        </w:rPr>
        <w:t>s</w:t>
      </w:r>
      <w:r>
        <w:rPr>
          <w:color w:val="000000"/>
          <w:szCs w:val="24"/>
          <w:lang w:eastAsia="zh-CN"/>
        </w:rPr>
        <w:t xml:space="preserve"> </w:t>
      </w:r>
      <w:r>
        <w:rPr>
          <w:rFonts w:hint="eastAsia"/>
          <w:color w:val="000000"/>
          <w:szCs w:val="24"/>
          <w:lang w:eastAsia="zh-CN"/>
        </w:rPr>
        <w:t>are</w:t>
      </w:r>
      <w:r>
        <w:rPr>
          <w:color w:val="000000"/>
          <w:szCs w:val="24"/>
          <w:lang w:eastAsia="zh-CN"/>
        </w:rPr>
        <w:t xml:space="preserve"> reminded to </w:t>
      </w:r>
      <w:r>
        <w:rPr>
          <w:rFonts w:hint="eastAsia"/>
          <w:color w:val="000000"/>
          <w:szCs w:val="24"/>
          <w:lang w:eastAsia="zh-CN"/>
        </w:rPr>
        <w:t>seal</w:t>
      </w:r>
      <w:r>
        <w:rPr>
          <w:color w:val="000000"/>
          <w:szCs w:val="24"/>
          <w:lang w:eastAsia="zh-CN"/>
        </w:rPr>
        <w:t xml:space="preserve"> </w:t>
      </w:r>
      <w:r>
        <w:rPr>
          <w:rFonts w:hint="eastAsia"/>
          <w:color w:val="000000"/>
          <w:szCs w:val="24"/>
          <w:lang w:eastAsia="zh-CN"/>
        </w:rPr>
        <w:t xml:space="preserve">the </w:t>
      </w:r>
      <w:r>
        <w:rPr>
          <w:color w:val="000000"/>
          <w:szCs w:val="24"/>
          <w:lang w:eastAsia="zh-CN"/>
        </w:rPr>
        <w:t xml:space="preserve">sachets </w:t>
      </w:r>
      <w:r>
        <w:rPr>
          <w:rFonts w:hint="eastAsia"/>
          <w:color w:val="000000"/>
          <w:szCs w:val="24"/>
          <w:lang w:eastAsia="zh-CN"/>
        </w:rPr>
        <w:t>and store them</w:t>
      </w:r>
      <w:r>
        <w:rPr>
          <w:color w:val="000000"/>
          <w:szCs w:val="24"/>
          <w:lang w:eastAsia="zh-CN"/>
        </w:rPr>
        <w:t xml:space="preserve"> in a freezer at about -20 °C.</w:t>
      </w:r>
      <w:r>
        <w:rPr>
          <w:rFonts w:hint="eastAsia"/>
          <w:color w:val="000000"/>
          <w:szCs w:val="24"/>
          <w:lang w:eastAsia="zh-CN"/>
        </w:rPr>
        <w:t xml:space="preserve"> </w:t>
      </w:r>
    </w:p>
    <w:p w14:paraId="35550A68" w14:textId="77777777" w:rsidR="00E95628" w:rsidRDefault="004759AF">
      <w:pPr>
        <w:pStyle w:val="ae"/>
        <w:spacing w:beforeLines="50" w:before="120" w:afterLines="50" w:after="120" w:line="360" w:lineRule="auto"/>
        <w:jc w:val="both"/>
        <w:rPr>
          <w:color w:val="000000"/>
          <w:szCs w:val="24"/>
          <w:lang w:eastAsia="zh-CN"/>
        </w:rPr>
      </w:pPr>
      <w:r>
        <w:rPr>
          <w:b/>
          <w:bCs/>
          <w:color w:val="000000"/>
          <w:szCs w:val="24"/>
          <w:lang w:eastAsia="zh-CN"/>
        </w:rPr>
        <w:t>N</w:t>
      </w:r>
      <w:r>
        <w:rPr>
          <w:rFonts w:hint="eastAsia"/>
          <w:b/>
          <w:bCs/>
          <w:color w:val="000000"/>
          <w:szCs w:val="24"/>
          <w:lang w:eastAsia="zh-CN"/>
        </w:rPr>
        <w:t>ote</w:t>
      </w:r>
      <w:r>
        <w:rPr>
          <w:rFonts w:hint="eastAsia"/>
          <w:b/>
          <w:bCs/>
          <w:color w:val="000000"/>
          <w:szCs w:val="24"/>
          <w:lang w:eastAsia="zh-CN"/>
        </w:rPr>
        <w:t>：</w:t>
      </w:r>
      <w:r>
        <w:rPr>
          <w:color w:val="000000"/>
          <w:szCs w:val="24"/>
          <w:lang w:eastAsia="zh-CN"/>
        </w:rPr>
        <w:t>In sunlight or ultraviolet light, some of the analyte can change from trans to cis isomer. Therefore, solutions containing the measurand should be placed in a brown container, and care should be taken to avoid sunlight or ultraviolet light.</w:t>
      </w:r>
    </w:p>
    <w:p w14:paraId="1A7D00B0" w14:textId="77777777" w:rsidR="00E95628" w:rsidRDefault="004759AF">
      <w:pPr>
        <w:pStyle w:val="ae"/>
        <w:spacing w:beforeLines="100" w:before="240" w:afterLines="50" w:after="120" w:line="360" w:lineRule="auto"/>
        <w:jc w:val="both"/>
        <w:rPr>
          <w:b/>
          <w:szCs w:val="24"/>
          <w:lang w:eastAsia="zh-CN"/>
        </w:rPr>
      </w:pPr>
      <w:r>
        <w:rPr>
          <w:b/>
          <w:szCs w:val="24"/>
          <w:lang w:eastAsia="zh-CN"/>
        </w:rPr>
        <w:t>Reporting of Results</w:t>
      </w:r>
    </w:p>
    <w:p w14:paraId="48902FA9" w14:textId="77777777" w:rsidR="00E95628" w:rsidRDefault="004759AF">
      <w:pPr>
        <w:pStyle w:val="ae"/>
        <w:spacing w:beforeLines="50" w:before="120" w:afterLines="50" w:after="120" w:line="360" w:lineRule="auto"/>
        <w:jc w:val="both"/>
        <w:rPr>
          <w:color w:val="000000"/>
          <w:szCs w:val="24"/>
          <w:lang w:eastAsia="zh-CN"/>
        </w:rPr>
      </w:pPr>
      <w:r>
        <w:rPr>
          <w:rFonts w:hint="eastAsia"/>
          <w:color w:val="000000"/>
          <w:szCs w:val="24"/>
          <w:lang w:eastAsia="zh-CN"/>
        </w:rPr>
        <w:t xml:space="preserve">At the time of sample dispatch, a sample receipt form will be provided electronically to all participants and must be filled in and returned to the study coordinator on receipt of the shipments. The results reporting form will be provided to each participant and must be completed and returned to the study coordinator before the submission deadline. </w:t>
      </w:r>
    </w:p>
    <w:p w14:paraId="5E814A6C" w14:textId="441EA596" w:rsidR="00E95628" w:rsidRDefault="004759AF">
      <w:pPr>
        <w:pStyle w:val="ae"/>
        <w:spacing w:beforeLines="50" w:before="120" w:afterLines="50" w:after="120" w:line="360" w:lineRule="auto"/>
        <w:jc w:val="both"/>
        <w:rPr>
          <w:color w:val="000000"/>
          <w:szCs w:val="24"/>
          <w:lang w:eastAsia="zh-CN"/>
        </w:rPr>
      </w:pPr>
      <w:r>
        <w:rPr>
          <w:color w:val="000000"/>
          <w:szCs w:val="24"/>
          <w:lang w:eastAsia="zh-CN"/>
        </w:rPr>
        <w:t>The results should be reported in the unit of µg/kg for trans-ZEN in maize on a dry mass basis and should include standard and expanded uncertainties (95 % level of conf</w:t>
      </w:r>
      <w:r w:rsidRPr="00C4721A">
        <w:rPr>
          <w:color w:val="000000"/>
          <w:szCs w:val="24"/>
          <w:lang w:eastAsia="zh-CN"/>
        </w:rPr>
        <w:t>idence) for the mean of the replicate determination</w:t>
      </w:r>
      <w:r w:rsidRPr="00C4721A">
        <w:rPr>
          <w:rFonts w:hint="eastAsia"/>
          <w:color w:val="000000"/>
          <w:szCs w:val="24"/>
          <w:lang w:eastAsia="zh-CN"/>
        </w:rPr>
        <w:t>s </w:t>
      </w:r>
      <w:r w:rsidRPr="00C4721A">
        <w:rPr>
          <w:color w:val="000000"/>
          <w:szCs w:val="24"/>
          <w:lang w:eastAsia="zh-CN"/>
        </w:rPr>
        <w:t>(n=3). Results of all replicate determinations should be included in the Results Report Form. The analysis should be conducted with a recommended sample size of at least 5.0 g. Information on the measurement procedure</w:t>
      </w:r>
      <w:r w:rsidRPr="00C4721A">
        <w:rPr>
          <w:rFonts w:hint="eastAsia"/>
          <w:color w:val="000000"/>
          <w:szCs w:val="24"/>
          <w:lang w:eastAsia="zh-CN"/>
        </w:rPr>
        <w:t xml:space="preserve"> </w:t>
      </w:r>
      <w:r w:rsidRPr="00C4721A">
        <w:rPr>
          <w:color w:val="000000"/>
          <w:szCs w:val="24"/>
          <w:lang w:eastAsia="zh-CN"/>
        </w:rPr>
        <w:t>(extraction, clea</w:t>
      </w:r>
      <w:r>
        <w:rPr>
          <w:color w:val="000000"/>
          <w:szCs w:val="24"/>
          <w:lang w:eastAsia="zh-CN"/>
        </w:rPr>
        <w:t>n-up, column and conditions, quantification approach), calibration standards, internal standards, any quality control materials, number of replicates, the means of calculation of the results and the estimation of measurement uncertainty should be included.</w:t>
      </w:r>
    </w:p>
    <w:p w14:paraId="2110FDE2" w14:textId="49962AB1" w:rsidR="00E95628" w:rsidRDefault="004759AF">
      <w:pPr>
        <w:pStyle w:val="ae"/>
        <w:spacing w:beforeLines="50" w:before="120" w:afterLines="50" w:after="120" w:line="360" w:lineRule="auto"/>
        <w:jc w:val="both"/>
        <w:rPr>
          <w:color w:val="000000"/>
          <w:szCs w:val="24"/>
          <w:lang w:eastAsia="zh-CN"/>
        </w:rPr>
      </w:pPr>
      <w:r>
        <w:rPr>
          <w:color w:val="000000"/>
          <w:szCs w:val="24"/>
          <w:lang w:eastAsia="zh-CN"/>
        </w:rPr>
        <w:lastRenderedPageBreak/>
        <w:t>Participants are required to carry out a dry mass correction. Dry mass correction should be carried out at the same time as the test sample portion is to be analyzed in the same package of sample. Due to the relatively high moisture content of maize powder, the moisture content should be measured using the following drying method. Take a flat glass container with cap, which has first been dried until no change in mass. A minimum of three subsamples (recommended sample size of 5</w:t>
      </w:r>
      <w:r>
        <w:rPr>
          <w:rFonts w:hint="eastAsia"/>
          <w:color w:val="000000"/>
          <w:szCs w:val="24"/>
          <w:lang w:eastAsia="zh-CN"/>
        </w:rPr>
        <w:t>.0</w:t>
      </w:r>
      <w:r>
        <w:rPr>
          <w:color w:val="000000"/>
          <w:szCs w:val="24"/>
          <w:lang w:eastAsia="zh-CN"/>
        </w:rPr>
        <w:t xml:space="preserve"> g each) of the maize powder should be put in the containers, </w:t>
      </w:r>
      <w:r w:rsidRPr="00507636">
        <w:rPr>
          <w:rFonts w:hint="eastAsia"/>
          <w:color w:val="000000"/>
          <w:szCs w:val="24"/>
          <w:lang w:eastAsia="zh-CN"/>
        </w:rPr>
        <w:t>spread</w:t>
      </w:r>
      <w:r>
        <w:rPr>
          <w:rFonts w:hint="eastAsia"/>
          <w:color w:val="000000"/>
          <w:szCs w:val="24"/>
          <w:lang w:eastAsia="zh-CN"/>
        </w:rPr>
        <w:t xml:space="preserve"> flat</w:t>
      </w:r>
      <w:r>
        <w:rPr>
          <w:color w:val="000000"/>
          <w:szCs w:val="24"/>
          <w:lang w:eastAsia="zh-CN"/>
        </w:rPr>
        <w:t xml:space="preserve"> to a</w:t>
      </w:r>
      <w:r>
        <w:rPr>
          <w:rFonts w:hint="eastAsia"/>
          <w:color w:val="000000"/>
          <w:szCs w:val="24"/>
          <w:lang w:eastAsia="zh-CN"/>
        </w:rPr>
        <w:t xml:space="preserve"> thickness </w:t>
      </w:r>
      <w:r>
        <w:rPr>
          <w:color w:val="000000"/>
          <w:szCs w:val="24"/>
          <w:lang w:eastAsia="zh-CN"/>
        </w:rPr>
        <w:t xml:space="preserve">of </w:t>
      </w:r>
      <w:r>
        <w:rPr>
          <w:rFonts w:hint="eastAsia"/>
          <w:color w:val="000000"/>
          <w:szCs w:val="24"/>
          <w:lang w:eastAsia="zh-CN"/>
        </w:rPr>
        <w:t>not more than 10 mm, put it into the oven</w:t>
      </w:r>
      <w:r>
        <w:rPr>
          <w:color w:val="000000"/>
          <w:szCs w:val="24"/>
          <w:lang w:eastAsia="zh-CN"/>
        </w:rPr>
        <w:t xml:space="preserve"> at </w:t>
      </w:r>
      <w:r>
        <w:rPr>
          <w:rFonts w:hint="eastAsia"/>
          <w:color w:val="000000"/>
          <w:szCs w:val="24"/>
          <w:lang w:eastAsia="zh-CN"/>
        </w:rPr>
        <w:t>13</w:t>
      </w:r>
      <w:r>
        <w:rPr>
          <w:color w:val="000000"/>
          <w:szCs w:val="24"/>
          <w:lang w:eastAsia="zh-CN"/>
        </w:rPr>
        <w:t>0</w:t>
      </w:r>
      <w:r>
        <w:rPr>
          <w:rFonts w:hint="eastAsia"/>
          <w:color w:val="000000"/>
          <w:szCs w:val="24"/>
          <w:lang w:eastAsia="zh-CN"/>
        </w:rPr>
        <w:t xml:space="preserve"> </w:t>
      </w:r>
      <w:r>
        <w:rPr>
          <w:rFonts w:hint="eastAsia"/>
          <w:color w:val="000000"/>
          <w:szCs w:val="24"/>
          <w:lang w:eastAsia="zh-CN"/>
        </w:rPr>
        <w:t>℃</w:t>
      </w:r>
      <w:r>
        <w:rPr>
          <w:rFonts w:hint="eastAsia"/>
          <w:color w:val="000000"/>
          <w:szCs w:val="24"/>
          <w:lang w:eastAsia="zh-CN"/>
        </w:rPr>
        <w:t xml:space="preserve">, and support the cap obliquely on the side of the </w:t>
      </w:r>
      <w:r>
        <w:rPr>
          <w:color w:val="000000"/>
          <w:szCs w:val="24"/>
          <w:lang w:eastAsia="zh-CN"/>
        </w:rPr>
        <w:t>container</w:t>
      </w:r>
      <w:r>
        <w:rPr>
          <w:rFonts w:hint="eastAsia"/>
          <w:color w:val="000000"/>
          <w:szCs w:val="24"/>
          <w:lang w:eastAsia="zh-CN"/>
        </w:rPr>
        <w:t>. After drying for 4</w:t>
      </w:r>
      <w:r>
        <w:rPr>
          <w:color w:val="000000"/>
          <w:szCs w:val="24"/>
          <w:lang w:eastAsia="zh-CN"/>
        </w:rPr>
        <w:t xml:space="preserve"> </w:t>
      </w:r>
      <w:r>
        <w:rPr>
          <w:rFonts w:hint="eastAsia"/>
          <w:color w:val="000000"/>
          <w:szCs w:val="24"/>
          <w:lang w:eastAsia="zh-CN"/>
        </w:rPr>
        <w:t>h, take out the glassware</w:t>
      </w:r>
      <w:r>
        <w:rPr>
          <w:color w:val="000000"/>
          <w:szCs w:val="24"/>
          <w:lang w:eastAsia="zh-CN"/>
        </w:rPr>
        <w:t xml:space="preserve"> out of the oven</w:t>
      </w:r>
      <w:r>
        <w:rPr>
          <w:rFonts w:hint="eastAsia"/>
          <w:color w:val="000000"/>
          <w:szCs w:val="24"/>
          <w:lang w:eastAsia="zh-CN"/>
        </w:rPr>
        <w:t xml:space="preserve">, cover it, place it in </w:t>
      </w:r>
      <w:r>
        <w:rPr>
          <w:color w:val="000000"/>
          <w:szCs w:val="24"/>
          <w:lang w:eastAsia="zh-CN"/>
        </w:rPr>
        <w:t>a desiccator with</w:t>
      </w:r>
      <w:r>
        <w:t xml:space="preserve"> </w:t>
      </w:r>
      <w:r w:rsidRPr="00507636">
        <w:rPr>
          <w:color w:val="000000"/>
          <w:szCs w:val="24"/>
          <w:lang w:eastAsia="zh-CN"/>
        </w:rPr>
        <w:t xml:space="preserve">anhydrous calcium sulphate </w:t>
      </w:r>
      <w:r>
        <w:t>as the desiccant</w:t>
      </w:r>
      <w:r>
        <w:rPr>
          <w:rFonts w:hint="eastAsia"/>
          <w:color w:val="000000"/>
          <w:szCs w:val="24"/>
          <w:lang w:eastAsia="zh-CN"/>
        </w:rPr>
        <w:t xml:space="preserve">, cool it to room temperature, </w:t>
      </w:r>
      <w:r>
        <w:rPr>
          <w:color w:val="000000"/>
          <w:szCs w:val="24"/>
          <w:lang w:eastAsia="zh-CN"/>
        </w:rPr>
        <w:t>and weigh it. M</w:t>
      </w:r>
      <w:r>
        <w:rPr>
          <w:rFonts w:hint="eastAsia"/>
          <w:color w:val="000000"/>
          <w:szCs w:val="24"/>
          <w:lang w:eastAsia="zh-CN"/>
        </w:rPr>
        <w:t>oisture</w:t>
      </w:r>
      <w:r>
        <w:rPr>
          <w:color w:val="000000"/>
          <w:szCs w:val="24"/>
          <w:lang w:eastAsia="zh-CN"/>
        </w:rPr>
        <w:t xml:space="preserve"> content of sample is calculated by weight reduction method, and the formula is as follows: </w:t>
      </w:r>
    </w:p>
    <w:p w14:paraId="23E8891E" w14:textId="77777777" w:rsidR="00E95628" w:rsidRDefault="004759AF">
      <w:pPr>
        <w:pStyle w:val="ae"/>
        <w:spacing w:line="360" w:lineRule="auto"/>
        <w:rPr>
          <w:szCs w:val="24"/>
          <w:lang w:eastAsia="zh-CN"/>
        </w:rPr>
      </w:pPr>
      <w:r>
        <w:rPr>
          <w:rFonts w:hint="eastAsia"/>
          <w:color w:val="000000"/>
          <w:szCs w:val="24"/>
          <w:lang w:eastAsia="zh-CN"/>
        </w:rPr>
        <w:t xml:space="preserve"> </w:t>
      </w:r>
      <w:r>
        <w:rPr>
          <w:color w:val="000000"/>
          <w:szCs w:val="24"/>
          <w:lang w:eastAsia="zh-CN"/>
        </w:rPr>
        <w:t xml:space="preserve">                   </w:t>
      </w:r>
      <w:r>
        <w:rPr>
          <w:szCs w:val="24"/>
          <w:lang w:eastAsia="zh-CN"/>
        </w:rPr>
        <w:fldChar w:fldCharType="begin"/>
      </w:r>
      <w:r>
        <w:rPr>
          <w:szCs w:val="24"/>
          <w:lang w:eastAsia="zh-CN"/>
        </w:rPr>
        <w:instrText xml:space="preserve"> QUOTE </w:instrText>
      </w:r>
      <w:r w:rsidR="008F2553">
        <w:rPr>
          <w:position w:val="-16"/>
        </w:rPr>
        <w:pict w14:anchorId="5E20F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3.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useFELayout/&gt;&lt;/w:compat&gt;&lt;wsp:rsids&gt;&lt;wsp:rsidRoot wsp:val=&quot;00CF3BC0&quot;/&gt;&lt;wsp:rsid wsp:val=&quot;00014213&quot;/&gt;&lt;wsp:rsid wsp:val=&quot;00061EB9&quot;/&gt;&lt;wsp:rsid wsp:val=&quot;000626C3&quot;/&gt;&lt;wsp:rsid wsp:val=&quot;000658D4&quot;/&gt;&lt;wsp:rsid wsp:val=&quot;00065A18&quot;/&gt;&lt;wsp:rsid wsp:val=&quot;0008647E&quot;/&gt;&lt;wsp:rsid wsp:val=&quot;00086638&quot;/&gt;&lt;wsp:rsid wsp:val=&quot;000A12CB&quot;/&gt;&lt;wsp:rsid wsp:val=&quot;000A43C3&quot;/&gt;&lt;wsp:rsid wsp:val=&quot;000A7B4D&quot;/&gt;&lt;wsp:rsid wsp:val=&quot;000B4FA2&quot;/&gt;&lt;wsp:rsid wsp:val=&quot;000B58A9&quot;/&gt;&lt;wsp:rsid wsp:val=&quot;000B63A1&quot;/&gt;&lt;wsp:rsid wsp:val=&quot;000C38C2&quot;/&gt;&lt;wsp:rsid wsp:val=&quot;000C7921&quot;/&gt;&lt;wsp:rsid wsp:val=&quot;000D2746&quot;/&gt;&lt;wsp:rsid wsp:val=&quot;000D5204&quot;/&gt;&lt;wsp:rsid wsp:val=&quot;000D7D28&quot;/&gt;&lt;wsp:rsid wsp:val=&quot;000E6A04&quot;/&gt;&lt;wsp:rsid wsp:val=&quot;00103A31&quot;/&gt;&lt;wsp:rsid wsp:val=&quot;00104C6E&quot;/&gt;&lt;wsp:rsid wsp:val=&quot;00127823&quot;/&gt;&lt;wsp:rsid wsp:val=&quot;00147A6F&quot;/&gt;&lt;wsp:rsid wsp:val=&quot;00172939&quot;/&gt;&lt;wsp:rsid wsp:val=&quot;0018032B&quot;/&gt;&lt;wsp:rsid wsp:val=&quot;0019303D&quot;/&gt;&lt;wsp:rsid wsp:val=&quot;0019517D&quot;/&gt;&lt;wsp:rsid wsp:val=&quot;00196DC4&quot;/&gt;&lt;wsp:rsid wsp:val=&quot;001D1F35&quot;/&gt;&lt;wsp:rsid wsp:val=&quot;001D313F&quot;/&gt;&lt;wsp:rsid wsp:val=&quot;001D475D&quot;/&gt;&lt;wsp:rsid wsp:val=&quot;001D6314&quot;/&gt;&lt;wsp:rsid wsp:val=&quot;00210584&quot;/&gt;&lt;wsp:rsid wsp:val=&quot;00232AC6&quot;/&gt;&lt;wsp:rsid wsp:val=&quot;002379D6&quot;/&gt;&lt;wsp:rsid wsp:val=&quot;00242B79&quot;/&gt;&lt;wsp:rsid wsp:val=&quot;0024591A&quot;/&gt;&lt;wsp:rsid wsp:val=&quot;00260122&quot;/&gt;&lt;wsp:rsid wsp:val=&quot;00280884&quot;/&gt;&lt;wsp:rsid wsp:val=&quot;002A58BF&quot;/&gt;&lt;wsp:rsid wsp:val=&quot;002C3A6A&quot;/&gt;&lt;wsp:rsid wsp:val=&quot;002D0553&quot;/&gt;&lt;wsp:rsid wsp:val=&quot;002E69B3&quot;/&gt;&lt;wsp:rsid wsp:val=&quot;00304C57&quot;/&gt;&lt;wsp:rsid wsp:val=&quot;00313E55&quot;/&gt;&lt;wsp:rsid wsp:val=&quot;00331634&quot;/&gt;&lt;wsp:rsid wsp:val=&quot;003356FA&quot;/&gt;&lt;wsp:rsid wsp:val=&quot;003527DF&quot;/&gt;&lt;wsp:rsid wsp:val=&quot;00357BB2&quot;/&gt;&lt;wsp:rsid wsp:val=&quot;003732EA&quot;/&gt;&lt;wsp:rsid wsp:val=&quot;00387DDC&quot;/&gt;&lt;wsp:rsid wsp:val=&quot;00394A7F&quot;/&gt;&lt;wsp:rsid wsp:val=&quot;00395BC6&quot;/&gt;&lt;wsp:rsid wsp:val=&quot;003B0E58&quot;/&gt;&lt;wsp:rsid wsp:val=&quot;003B66C7&quot;/&gt;&lt;wsp:rsid wsp:val=&quot;003C49AB&quot;/&gt;&lt;wsp:rsid wsp:val=&quot;003C557E&quot;/&gt;&lt;wsp:rsid wsp:val=&quot;003C657D&quot;/&gt;&lt;wsp:rsid wsp:val=&quot;003E050A&quot;/&gt;&lt;wsp:rsid wsp:val=&quot;003E43BE&quot;/&gt;&lt;wsp:rsid wsp:val=&quot;00404002&quot;/&gt;&lt;wsp:rsid wsp:val=&quot;00413138&quot;/&gt;&lt;wsp:rsid wsp:val=&quot;00414E32&quot;/&gt;&lt;wsp:rsid wsp:val=&quot;00415537&quot;/&gt;&lt;wsp:rsid wsp:val=&quot;004170DB&quot;/&gt;&lt;wsp:rsid wsp:val=&quot;00431740&quot;/&gt;&lt;wsp:rsid wsp:val=&quot;00440C07&quot;/&gt;&lt;wsp:rsid wsp:val=&quot;004547D2&quot;/&gt;&lt;wsp:rsid wsp:val=&quot;00462427&quot;/&gt;&lt;wsp:rsid wsp:val=&quot;0046716D&quot;/&gt;&lt;wsp:rsid wsp:val=&quot;0047641D&quot;/&gt;&lt;wsp:rsid wsp:val=&quot;004878FA&quot;/&gt;&lt;wsp:rsid wsp:val=&quot;004A0590&quot;/&gt;&lt;wsp:rsid wsp:val=&quot;004B2E2C&quot;/&gt;&lt;wsp:rsid wsp:val=&quot;004B3575&quot;/&gt;&lt;wsp:rsid wsp:val=&quot;004B632E&quot;/&gt;&lt;wsp:rsid wsp:val=&quot;004D0B46&quot;/&gt;&lt;wsp:rsid wsp:val=&quot;004F220E&quot;/&gt;&lt;wsp:rsid wsp:val=&quot;00511030&quot;/&gt;&lt;wsp:rsid wsp:val=&quot;005562F5&quot;/&gt;&lt;wsp:rsid wsp:val=&quot;00575DE9&quot;/&gt;&lt;wsp:rsid wsp:val=&quot;00576B94&quot;/&gt;&lt;wsp:rsid wsp:val=&quot;005833E2&quot;/&gt;&lt;wsp:rsid wsp:val=&quot;00585313&quot;/&gt;&lt;wsp:rsid wsp:val=&quot;005B0231&quot;/&gt;&lt;wsp:rsid wsp:val=&quot;005B7348&quot;/&gt;&lt;wsp:rsid wsp:val=&quot;005C3B49&quot;/&gt;&lt;wsp:rsid wsp:val=&quot;005E21F2&quot;/&gt;&lt;wsp:rsid wsp:val=&quot;005F1057&quot;/&gt;&lt;wsp:rsid wsp:val=&quot;005F7E5D&quot;/&gt;&lt;wsp:rsid wsp:val=&quot;006148A5&quot;/&gt;&lt;wsp:rsid wsp:val=&quot;006207CC&quot;/&gt;&lt;wsp:rsid wsp:val=&quot;0063681A&quot;/&gt;&lt;wsp:rsid wsp:val=&quot;006411EF&quot;/&gt;&lt;wsp:rsid wsp:val=&quot;006421F8&quot;/&gt;&lt;wsp:rsid wsp:val=&quot;00654DA3&quot;/&gt;&lt;wsp:rsid wsp:val=&quot;006633D2&quot;/&gt;&lt;wsp:rsid wsp:val=&quot;00691FFF&quot;/&gt;&lt;wsp:rsid wsp:val=&quot;006923C5&quot;/&gt;&lt;wsp:rsid wsp:val=&quot;006A1606&quot;/&gt;&lt;wsp:rsid wsp:val=&quot;006A168E&quot;/&gt;&lt;wsp:rsid wsp:val=&quot;006B31A6&quot;/&gt;&lt;wsp:rsid wsp:val=&quot;006D2814&quot;/&gt;&lt;wsp:rsid wsp:val=&quot;006F65BB&quot;/&gt;&lt;wsp:rsid wsp:val=&quot;007002C5&quot;/&gt;&lt;wsp:rsid wsp:val=&quot;007049F4&quot;/&gt;&lt;wsp:rsid wsp:val=&quot;007175DC&quot;/&gt;&lt;wsp:rsid wsp:val=&quot;00723153&quot;/&gt;&lt;wsp:rsid wsp:val=&quot;007368AA&quot;/&gt;&lt;wsp:rsid wsp:val=&quot;00743A00&quot;/&gt;&lt;wsp:rsid wsp:val=&quot;00763498&quot;/&gt;&lt;wsp:rsid wsp:val=&quot;00764C2E&quot;/&gt;&lt;wsp:rsid wsp:val=&quot;007743E6&quot;/&gt;&lt;wsp:rsid wsp:val=&quot;00777B57&quot;/&gt;&lt;wsp:rsid wsp:val=&quot;007B0BA5&quot;/&gt;&lt;wsp:rsid wsp:val=&quot;007C01FC&quot;/&gt;&lt;wsp:rsid wsp:val=&quot;007C5911&quot;/&gt;&lt;wsp:rsid wsp:val=&quot;007D0744&quot;/&gt;&lt;wsp:rsid wsp:val=&quot;007F3587&quot;/&gt;&lt;wsp:rsid wsp:val=&quot;008339E5&quot;/&gt;&lt;wsp:rsid wsp:val=&quot;00850460&quot;/&gt;&lt;wsp:rsid wsp:val=&quot;00852685&quot;/&gt;&lt;wsp:rsid wsp:val=&quot;00861FC0&quot;/&gt;&lt;wsp:rsid wsp:val=&quot;00866B83&quot;/&gt;&lt;wsp:rsid wsp:val=&quot;0087342D&quot;/&gt;&lt;wsp:rsid wsp:val=&quot;008D292E&quot;/&gt;&lt;wsp:rsid wsp:val=&quot;008D73F6&quot;/&gt;&lt;wsp:rsid wsp:val=&quot;008E1FE2&quot;/&gt;&lt;wsp:rsid wsp:val=&quot;009020FE&quot;/&gt;&lt;wsp:rsid wsp:val=&quot;00902655&quot;/&gt;&lt;wsp:rsid wsp:val=&quot;0091449E&quot;/&gt;&lt;wsp:rsid wsp:val=&quot;00924C28&quot;/&gt;&lt;wsp:rsid wsp:val=&quot;0092565F&quot;/&gt;&lt;wsp:rsid wsp:val=&quot;00935FC8&quot;/&gt;&lt;wsp:rsid wsp:val=&quot;00942015&quot;/&gt;&lt;wsp:rsid wsp:val=&quot;009857FA&quot;/&gt;&lt;wsp:rsid wsp:val=&quot;009A228E&quot;/&gt;&lt;wsp:rsid wsp:val=&quot;009B571A&quot;/&gt;&lt;wsp:rsid wsp:val=&quot;009D6794&quot;/&gt;&lt;wsp:rsid wsp:val=&quot;009E1842&quot;/&gt;&lt;wsp:rsid wsp:val=&quot;009E1F4A&quot;/&gt;&lt;wsp:rsid wsp:val=&quot;009F66DE&quot;/&gt;&lt;wsp:rsid wsp:val=&quot;00A001A5&quot;/&gt;&lt;wsp:rsid wsp:val=&quot;00A01D34&quot;/&gt;&lt;wsp:rsid wsp:val=&quot;00A07DBC&quot;/&gt;&lt;wsp:rsid wsp:val=&quot;00A119CE&quot;/&gt;&lt;wsp:rsid wsp:val=&quot;00A15911&quot;/&gt;&lt;wsp:rsid wsp:val=&quot;00A20AB5&quot;/&gt;&lt;wsp:rsid wsp:val=&quot;00A34883&quot;/&gt;&lt;wsp:rsid wsp:val=&quot;00A3561A&quot;/&gt;&lt;wsp:rsid wsp:val=&quot;00A436AB&quot;/&gt;&lt;wsp:rsid wsp:val=&quot;00A604D0&quot;/&gt;&lt;wsp:rsid wsp:val=&quot;00A639C8&quot;/&gt;&lt;wsp:rsid wsp:val=&quot;00A653F6&quot;/&gt;&lt;wsp:rsid wsp:val=&quot;00A82BE6&quot;/&gt;&lt;wsp:rsid wsp:val=&quot;00A8733E&quot;/&gt;&lt;wsp:rsid wsp:val=&quot;00AB627F&quot;/&gt;&lt;wsp:rsid wsp:val=&quot;00AD6E20&quot;/&gt;&lt;wsp:rsid wsp:val=&quot;00AE1954&quot;/&gt;&lt;wsp:rsid wsp:val=&quot;00B11635&quot;/&gt;&lt;wsp:rsid wsp:val=&quot;00B130B6&quot;/&gt;&lt;wsp:rsid wsp:val=&quot;00B26605&quot;/&gt;&lt;wsp:rsid wsp:val=&quot;00B75E7B&quot;/&gt;&lt;wsp:rsid wsp:val=&quot;00B7724F&quot;/&gt;&lt;wsp:rsid wsp:val=&quot;00B855E2&quot;/&gt;&lt;wsp:rsid wsp:val=&quot;00BA0A86&quot;/&gt;&lt;wsp:rsid wsp:val=&quot;00BD09FA&quot;/&gt;&lt;wsp:rsid wsp:val=&quot;00BD524C&quot;/&gt;&lt;wsp:rsid wsp:val=&quot;00BF28BF&quot;/&gt;&lt;wsp:rsid wsp:val=&quot;00C00D1E&quot;/&gt;&lt;wsp:rsid wsp:val=&quot;00C036CA&quot;/&gt;&lt;wsp:rsid wsp:val=&quot;00C03EE2&quot;/&gt;&lt;wsp:rsid wsp:val=&quot;00C13C90&quot;/&gt;&lt;wsp:rsid wsp:val=&quot;00C42254&quot;/&gt;&lt;wsp:rsid wsp:val=&quot;00C45510&quot;/&gt;&lt;wsp:rsid wsp:val=&quot;00C50292&quot;/&gt;&lt;wsp:rsid wsp:val=&quot;00C61B60&quot;/&gt;&lt;wsp:rsid wsp:val=&quot;00C721A0&quot;/&gt;&lt;wsp:rsid wsp:val=&quot;00C86572&quot;/&gt;&lt;wsp:rsid wsp:val=&quot;00C90581&quot;/&gt;&lt;wsp:rsid wsp:val=&quot;00CB04AD&quot;/&gt;&lt;wsp:rsid wsp:val=&quot;00CE0F5F&quot;/&gt;&lt;wsp:rsid wsp:val=&quot;00CE7D8F&quot;/&gt;&lt;wsp:rsid wsp:val=&quot;00CF38C6&quot;/&gt;&lt;wsp:rsid wsp:val=&quot;00CF3BC0&quot;/&gt;&lt;wsp:rsid wsp:val=&quot;00D04EE5&quot;/&gt;&lt;wsp:rsid wsp:val=&quot;00D05107&quot;/&gt;&lt;wsp:rsid wsp:val=&quot;00D31B68&quot;/&gt;&lt;wsp:rsid wsp:val=&quot;00D37588&quot;/&gt;&lt;wsp:rsid wsp:val=&quot;00D5113C&quot;/&gt;&lt;wsp:rsid wsp:val=&quot;00D52A74&quot;/&gt;&lt;wsp:rsid wsp:val=&quot;00D53ADB&quot;/&gt;&lt;wsp:rsid wsp:val=&quot;00D64912&quot;/&gt;&lt;wsp:rsid wsp:val=&quot;00D95762&quot;/&gt;&lt;wsp:rsid wsp:val=&quot;00D977C7&quot;/&gt;&lt;wsp:rsid wsp:val=&quot;00DA6762&quot;/&gt;&lt;wsp:rsid wsp:val=&quot;00DD65F3&quot;/&gt;&lt;wsp:rsid wsp:val=&quot;00DF181B&quot;/&gt;&lt;wsp:rsid wsp:val=&quot;00E03CB9&quot;/&gt;&lt;wsp:rsid wsp:val=&quot;00E07565&quot;/&gt;&lt;wsp:rsid wsp:val=&quot;00E147BB&quot;/&gt;&lt;wsp:rsid wsp:val=&quot;00E25640&quot;/&gt;&lt;wsp:rsid wsp:val=&quot;00E25C74&quot;/&gt;&lt;wsp:rsid wsp:val=&quot;00E34479&quot;/&gt;&lt;wsp:rsid wsp:val=&quot;00E811E6&quot;/&gt;&lt;wsp:rsid wsp:val=&quot;00E87324&quot;/&gt;&lt;wsp:rsid wsp:val=&quot;00EA2BA3&quot;/&gt;&lt;wsp:rsid wsp:val=&quot;00EA3FEA&quot;/&gt;&lt;wsp:rsid wsp:val=&quot;00EA5ECA&quot;/&gt;&lt;wsp:rsid wsp:val=&quot;00EA6E15&quot;/&gt;&lt;wsp:rsid wsp:val=&quot;00EB227F&quot;/&gt;&lt;wsp:rsid wsp:val=&quot;00EC2291&quot;/&gt;&lt;wsp:rsid wsp:val=&quot;00EC5849&quot;/&gt;&lt;wsp:rsid wsp:val=&quot;00EE645F&quot;/&gt;&lt;wsp:rsid wsp:val=&quot;00EF46CC&quot;/&gt;&lt;wsp:rsid wsp:val=&quot;00EF621F&quot;/&gt;&lt;wsp:rsid wsp:val=&quot;00F0057A&quot;/&gt;&lt;wsp:rsid wsp:val=&quot;00F24B3D&quot;/&gt;&lt;wsp:rsid wsp:val=&quot;00F50D37&quot;/&gt;&lt;wsp:rsid wsp:val=&quot;00F65E7A&quot;/&gt;&lt;wsp:rsid wsp:val=&quot;00F807DD&quot;/&gt;&lt;wsp:rsid wsp:val=&quot;00F8385D&quot;/&gt;&lt;wsp:rsid wsp:val=&quot;00FA1C82&quot;/&gt;&lt;wsp:rsid wsp:val=&quot;00FA3289&quot;/&gt;&lt;wsp:rsid wsp:val=&quot;00FA55FC&quot;/&gt;&lt;wsp:rsid wsp:val=&quot;00FB1DF1&quot;/&gt;&lt;wsp:rsid wsp:val=&quot;00FD2B80&quot;/&gt;&lt;wsp:rsid wsp:val=&quot;00FD79FA&quot;/&gt;&lt;wsp:rsid wsp:val=&quot;01183E5B&quot;/&gt;&lt;wsp:rsid wsp:val=&quot;05CE5615&quot;/&gt;&lt;wsp:rsid wsp:val=&quot;0B0E7C1E&quot;/&gt;&lt;wsp:rsid wsp:val=&quot;0EB67AB5&quot;/&gt;&lt;wsp:rsid wsp:val=&quot;10B539B9&quot;/&gt;&lt;wsp:rsid wsp:val=&quot;19164C5F&quot;/&gt;&lt;wsp:rsid wsp:val=&quot;1BAB3693&quot;/&gt;&lt;wsp:rsid wsp:val=&quot;2CDE3D79&quot;/&gt;&lt;wsp:rsid wsp:val=&quot;3DE665A0&quot;/&gt;&lt;wsp:rsid wsp:val=&quot;3ECC3973&quot;/&gt;&lt;wsp:rsid wsp:val=&quot;45357930&quot;/&gt;&lt;wsp:rsid wsp:val=&quot;4F5D1327&quot;/&gt;&lt;wsp:rsid wsp:val=&quot;6CB260F6&quot;/&gt;&lt;wsp:rsid wsp:val=&quot;714B2770&quot;/&gt;&lt;/wsp:rsids&gt;&lt;/w:docPr&gt;&lt;w:body&gt;&lt;wx:sect&gt;&lt;w:p wsp:rsidR=&quot;00000000&quot; wsp:rsidRDefault=&quot;00F8385D&quot; wsp:rsidP=&quot;00F8385D&quot;&gt;&lt;aml:annotation aml:id=&quot;0&quot; w:type=&quot;Word.Bookmark.Start&quot; w:name=&quot;_Hlk34039363&quot;/&gt;&lt;m:oMathPara&gt;&lt;m:oMath&gt;&lt;m:r&gt;&lt;w:rPr&gt;&lt;w:rFonts w:ascii=&quot;Cambria Math&quot; w:h-ansi=&quot;Cambria Math&quot;/&gt;&lt;wx:font wx:val=&quot;Cambria Math&quot;/&gt;&lt;w:i/&gt;&lt;/w:rPr&gt;&lt;m:t&gt;Mo&lt;/m:t&gt;&lt;/m:r&gt;&lt;m:r&gt;&lt;w:rPr&gt;&lt;w:rFonts w:ascii=&quot;Cambria Math&quot; w:h-ansi=&quot;Cambria Math&quot; w:hint=&quot;fareast&quot;/&gt;&lt;wx:font wx:val=&quot;Cambria Math&quot;/&gt;&lt;w:i/&gt;&lt;/w:rPr&gt;&lt;m:t&gt;i&lt;/m:t&gt;&lt;/m:r&gt;&lt;m:r&gt;&lt;w:rPr&gt;&lt;w:rFonts w:ascii=&quot;Cambria Math&quot; w:h-ansi=&quot;Cambria Math&quot;/&gt;&lt;wx:font wx:val=&quot;Cambria Math&quot;/&gt;&lt;w:i/&gt;&lt;/w:rPr&gt;&lt;m:t&gt;s.=&lt;/m:t&gt;&lt;/m:r&gt;&lt;m:d&gt;&lt;m:dPr&gt;&lt;m:begChr m:val=&quot;（&quot;/&gt;&lt;hhhhhhhhhhhhhhhhhhhm: endChr m:val=&quot;）&quot;/&gt;&lt;m:ctrlPr&gt;&lt;w:rPr&gt;&lt;w:rFonts w:ascii=&quot;Cambria Math&quot; w:h-ansi=&quot;Cambria Math&quot;/&gt;&lt;wx:font wx:val=&quot;Cambria Math&quot;/&gt;&lt;w:i/&gt;&lt;/w:rPr&gt;&lt;/m:ctrlPr&gt;&lt;/m:dPr&gt;&lt;m:e&gt;&lt;m:f&gt;&lt;m:fPr&gt;&lt;m:ctrlPr&gt;&lt;w:rPr&gt;&lt;w:rFonts w:ascii=&quot;Cambria Math&quot; w:h-ansih=h&quot;hChahmhbhrhihah hMhahthhh&quot;h/h&gt;h&lt;hwx: 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1&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0&lt;/m:t&gt;&lt;/m:r&gt;&lt;/m:sub&gt;&lt;/m:sSub&gt;&lt;/m:den&gt;&lt;/m:f&gt;&lt;/m:e&gt;&lt;/m:d&gt;&lt;m:r&gt;&lt;w:rPr&gt;&lt;w:rFonts w:ascii=&quot;Cambria Math&quot; w:fareast=&quot;MS Gothic&quot; w:h-ansi=&quot;Cambria Math&quot; w:cs=&quot;MS Gothic&quot; w:hint=&quot;fareast&quot;/&gt;&lt;wx:font wx:val=&quot;MS Gothic&quot;/&gt;&lt;w:i/&gt;&lt;/w:rPr&gt;&lt;m:t&gt;*&lt;/m:t&gt;&lt;/m:r&gt;&lt;m:r&gt;&lt;w:rPr&gt;&lt;w:rFonts w:ascii=&quot;Cambria Math&quot; w:h-ansi=&quot;Cambria Math&quot; w:hint=&quot;fareast&quot;/&gt;&lt;wx:font wx:val=&quot;Cambria Math&quot;/&gt;&lt;w:i/&gt;&lt;/w:rPr&gt;&lt;m:t&gt;100&lt;/m:t&gt;&lt;/m:r&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Pr>
          <w:szCs w:val="24"/>
          <w:lang w:eastAsia="zh-CN"/>
        </w:rPr>
        <w:instrText xml:space="preserve"> </w:instrText>
      </w:r>
      <w:r>
        <w:rPr>
          <w:szCs w:val="24"/>
          <w:lang w:eastAsia="zh-CN"/>
        </w:rPr>
        <w:fldChar w:fldCharType="end"/>
      </w:r>
      <w:bookmarkStart w:id="2" w:name="_Hlk34039363"/>
      <m:oMath>
        <m:r>
          <w:rPr>
            <w:rFonts w:ascii="Cambria Math" w:hAnsi="Cambria Math"/>
          </w:rPr>
          <m:t>Mo</m:t>
        </m:r>
        <m:r>
          <w:rPr>
            <w:rFonts w:ascii="Cambria Math" w:hAnsi="Cambria Math" w:hint="eastAsia"/>
          </w:rPr>
          <m:t>i</m:t>
        </m:r>
        <m:r>
          <w:rPr>
            <w:rFonts w:ascii="Cambria Math" w:hAnsi="Cambria Math"/>
          </w:rPr>
          <m:t>s.=</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e>
        </m:d>
        <m:r>
          <w:rPr>
            <w:rFonts w:ascii="Cambria Math" w:eastAsia="MS Gothic" w:hAnsi="Cambria Math" w:cs="MS Gothic" w:hint="eastAsia"/>
          </w:rPr>
          <m:t>*</m:t>
        </m:r>
        <m:r>
          <w:rPr>
            <w:rFonts w:ascii="Cambria Math" w:hAnsi="Cambria Math" w:hint="eastAsia"/>
          </w:rPr>
          <m:t>100</m:t>
        </m:r>
      </m:oMath>
      <w:bookmarkEnd w:id="2"/>
    </w:p>
    <w:p w14:paraId="2AE0F85A" w14:textId="77777777" w:rsidR="00E95628" w:rsidRDefault="004759AF">
      <w:pPr>
        <w:pStyle w:val="ae"/>
        <w:spacing w:line="360" w:lineRule="auto"/>
        <w:rPr>
          <w:i/>
          <w:iCs/>
          <w:sz w:val="21"/>
          <w:szCs w:val="21"/>
          <w:lang w:eastAsia="zh-CN"/>
        </w:rPr>
      </w:pPr>
      <w:r>
        <w:rPr>
          <w:rFonts w:hint="eastAsia"/>
          <w:szCs w:val="24"/>
          <w:lang w:eastAsia="zh-CN"/>
        </w:rPr>
        <w:t xml:space="preserve"> </w:t>
      </w:r>
      <w:r>
        <w:rPr>
          <w:szCs w:val="24"/>
          <w:lang w:eastAsia="zh-CN"/>
        </w:rPr>
        <w:t xml:space="preserve">                   </w:t>
      </w:r>
      <w:r>
        <w:rPr>
          <w:i/>
          <w:iCs/>
          <w:sz w:val="21"/>
          <w:szCs w:val="21"/>
          <w:lang w:eastAsia="zh-CN"/>
        </w:rPr>
        <w:t xml:space="preserve">Mois., is the moisture content in sample, </w:t>
      </w:r>
      <w:r>
        <w:rPr>
          <w:rFonts w:hint="eastAsia"/>
          <w:i/>
          <w:iCs/>
          <w:sz w:val="21"/>
          <w:szCs w:val="21"/>
          <w:lang w:eastAsia="zh-CN"/>
        </w:rPr>
        <w:t>g</w:t>
      </w:r>
      <w:r>
        <w:rPr>
          <w:i/>
          <w:iCs/>
          <w:sz w:val="21"/>
          <w:szCs w:val="21"/>
          <w:lang w:eastAsia="zh-CN"/>
        </w:rPr>
        <w:t>/100g;</w:t>
      </w:r>
    </w:p>
    <w:p w14:paraId="13A44DDE" w14:textId="77777777" w:rsidR="00E95628" w:rsidRDefault="004759AF">
      <w:pPr>
        <w:pStyle w:val="ae"/>
        <w:spacing w:line="360" w:lineRule="auto"/>
        <w:rPr>
          <w:i/>
          <w:iCs/>
          <w:sz w:val="21"/>
          <w:szCs w:val="21"/>
          <w:lang w:eastAsia="zh-CN"/>
        </w:rPr>
      </w:pPr>
      <w:r>
        <w:rPr>
          <w:i/>
          <w:iCs/>
          <w:sz w:val="21"/>
          <w:szCs w:val="21"/>
          <w:lang w:eastAsia="zh-CN"/>
        </w:rPr>
        <w:t xml:space="preserve">                       M</w:t>
      </w:r>
      <w:r>
        <w:rPr>
          <w:i/>
          <w:iCs/>
          <w:sz w:val="21"/>
          <w:szCs w:val="21"/>
          <w:vertAlign w:val="subscript"/>
          <w:lang w:eastAsia="zh-CN"/>
        </w:rPr>
        <w:t>0</w:t>
      </w:r>
      <w:r>
        <w:rPr>
          <w:i/>
          <w:iCs/>
          <w:sz w:val="21"/>
          <w:szCs w:val="21"/>
          <w:lang w:eastAsia="zh-CN"/>
        </w:rPr>
        <w:t xml:space="preserve">,    is the mass of sample before drying, </w:t>
      </w:r>
      <w:r>
        <w:rPr>
          <w:rFonts w:hint="eastAsia"/>
          <w:i/>
          <w:iCs/>
          <w:sz w:val="21"/>
          <w:szCs w:val="21"/>
          <w:lang w:eastAsia="zh-CN"/>
        </w:rPr>
        <w:t>g</w:t>
      </w:r>
      <w:r>
        <w:rPr>
          <w:rFonts w:hint="eastAsia"/>
          <w:i/>
          <w:iCs/>
          <w:sz w:val="21"/>
          <w:szCs w:val="21"/>
          <w:lang w:eastAsia="zh-CN"/>
        </w:rPr>
        <w:t>；</w:t>
      </w:r>
    </w:p>
    <w:p w14:paraId="214C07D4" w14:textId="77777777" w:rsidR="00E95628" w:rsidRDefault="004759AF">
      <w:pPr>
        <w:pStyle w:val="ae"/>
        <w:spacing w:line="360" w:lineRule="auto"/>
        <w:rPr>
          <w:i/>
          <w:iCs/>
          <w:sz w:val="21"/>
          <w:szCs w:val="21"/>
          <w:lang w:eastAsia="zh-CN"/>
        </w:rPr>
      </w:pPr>
      <w:r>
        <w:rPr>
          <w:rFonts w:hint="eastAsia"/>
          <w:i/>
          <w:iCs/>
          <w:sz w:val="21"/>
          <w:szCs w:val="21"/>
          <w:lang w:eastAsia="zh-CN"/>
        </w:rPr>
        <w:t xml:space="preserve"> </w:t>
      </w:r>
      <w:r>
        <w:rPr>
          <w:i/>
          <w:iCs/>
          <w:sz w:val="21"/>
          <w:szCs w:val="21"/>
          <w:lang w:eastAsia="zh-CN"/>
        </w:rPr>
        <w:t xml:space="preserve">                      M</w:t>
      </w:r>
      <w:r>
        <w:rPr>
          <w:i/>
          <w:iCs/>
          <w:sz w:val="21"/>
          <w:szCs w:val="21"/>
          <w:vertAlign w:val="subscript"/>
          <w:lang w:eastAsia="zh-CN"/>
        </w:rPr>
        <w:t>1</w:t>
      </w:r>
      <w:r>
        <w:rPr>
          <w:rFonts w:hint="eastAsia"/>
          <w:i/>
          <w:iCs/>
          <w:sz w:val="21"/>
          <w:szCs w:val="21"/>
          <w:lang w:eastAsia="zh-CN"/>
        </w:rPr>
        <w:t>，</w:t>
      </w:r>
      <w:r>
        <w:rPr>
          <w:rFonts w:hint="eastAsia"/>
          <w:i/>
          <w:iCs/>
          <w:sz w:val="21"/>
          <w:szCs w:val="21"/>
          <w:lang w:eastAsia="zh-CN"/>
        </w:rPr>
        <w:t xml:space="preserve"> is</w:t>
      </w:r>
      <w:r>
        <w:rPr>
          <w:i/>
          <w:iCs/>
          <w:sz w:val="21"/>
          <w:szCs w:val="21"/>
          <w:lang w:eastAsia="zh-CN"/>
        </w:rPr>
        <w:t xml:space="preserve"> </w:t>
      </w:r>
      <w:r>
        <w:rPr>
          <w:rFonts w:hint="eastAsia"/>
          <w:i/>
          <w:iCs/>
          <w:sz w:val="21"/>
          <w:szCs w:val="21"/>
          <w:lang w:eastAsia="zh-CN"/>
        </w:rPr>
        <w:t>the</w:t>
      </w:r>
      <w:r>
        <w:rPr>
          <w:i/>
          <w:iCs/>
          <w:sz w:val="21"/>
          <w:szCs w:val="21"/>
          <w:lang w:eastAsia="zh-CN"/>
        </w:rPr>
        <w:t xml:space="preserve"> </w:t>
      </w:r>
      <w:r>
        <w:rPr>
          <w:rFonts w:hint="eastAsia"/>
          <w:i/>
          <w:iCs/>
          <w:sz w:val="21"/>
          <w:szCs w:val="21"/>
          <w:lang w:eastAsia="zh-CN"/>
        </w:rPr>
        <w:t>mass</w:t>
      </w:r>
      <w:r>
        <w:rPr>
          <w:i/>
          <w:iCs/>
          <w:sz w:val="21"/>
          <w:szCs w:val="21"/>
          <w:lang w:eastAsia="zh-CN"/>
        </w:rPr>
        <w:t xml:space="preserve"> of sample after drying for 4 hours, g;</w:t>
      </w:r>
    </w:p>
    <w:p w14:paraId="2A86E06F" w14:textId="77777777" w:rsidR="00E95628" w:rsidRDefault="004759AF">
      <w:pPr>
        <w:autoSpaceDE w:val="0"/>
        <w:autoSpaceDN w:val="0"/>
        <w:adjustRightInd w:val="0"/>
        <w:spacing w:beforeLines="100" w:before="240" w:afterLines="50" w:after="120" w:line="360" w:lineRule="auto"/>
        <w:rPr>
          <w:rFonts w:ascii="TimesNewRomanPSMT" w:hAnsi="TimesNewRomanPSMT" w:cs="TimesNewRomanPSMT"/>
          <w:b/>
          <w:sz w:val="24"/>
          <w:lang w:eastAsia="en-CA"/>
        </w:rPr>
      </w:pPr>
      <w:r>
        <w:rPr>
          <w:rFonts w:ascii="TimesNewRomanPSMT" w:hAnsi="TimesNewRomanPSMT" w:cs="TimesNewRomanPSMT"/>
          <w:b/>
          <w:sz w:val="24"/>
          <w:lang w:eastAsia="en-CA"/>
        </w:rPr>
        <w:t>Evaluation of Results</w:t>
      </w:r>
    </w:p>
    <w:p w14:paraId="135CC2EA" w14:textId="77777777" w:rsidR="00E95628" w:rsidRPr="00485FF0" w:rsidRDefault="004759AF">
      <w:pPr>
        <w:pStyle w:val="ae"/>
        <w:spacing w:beforeLines="50" w:before="120" w:afterLines="50" w:after="120" w:line="360" w:lineRule="auto"/>
        <w:jc w:val="both"/>
        <w:rPr>
          <w:color w:val="000000" w:themeColor="text1"/>
          <w:szCs w:val="24"/>
          <w:lang w:eastAsia="zh-CN"/>
        </w:rPr>
      </w:pPr>
      <w:r>
        <w:rPr>
          <w:szCs w:val="24"/>
          <w:lang w:eastAsia="zh-CN"/>
        </w:rPr>
        <w:t xml:space="preserve">This program </w:t>
      </w:r>
      <w:r>
        <w:t>will demonstrate participants’ capabilities in determining low-polarity analytes (</w:t>
      </w:r>
      <w:r>
        <w:rPr>
          <w:i/>
          <w:iCs/>
        </w:rPr>
        <w:t xml:space="preserve">pKow </w:t>
      </w:r>
      <w:r>
        <w:t>&lt; -2) with molecular mass range from 100 to 500 g/mol at mass fraction levels of 1 to 1000 µg/kg in a high carbohydrate food matrix</w:t>
      </w:r>
      <w:r>
        <w:rPr>
          <w:szCs w:val="24"/>
          <w:lang w:eastAsia="zh-CN"/>
        </w:rPr>
        <w:t xml:space="preserve">. </w:t>
      </w:r>
      <w:r w:rsidRPr="00485FF0">
        <w:rPr>
          <w:color w:val="000000" w:themeColor="text1"/>
          <w:szCs w:val="24"/>
          <w:lang w:eastAsia="zh-CN"/>
        </w:rPr>
        <w:t>It is a paralleled study with the track A key comparison of CCQM-K1</w:t>
      </w:r>
      <w:r w:rsidRPr="00485FF0">
        <w:rPr>
          <w:rFonts w:hint="eastAsia"/>
          <w:color w:val="000000" w:themeColor="text1"/>
          <w:szCs w:val="24"/>
          <w:lang w:eastAsia="zh-CN"/>
        </w:rPr>
        <w:t>68</w:t>
      </w:r>
      <w:r w:rsidRPr="00485FF0">
        <w:rPr>
          <w:color w:val="000000" w:themeColor="text1"/>
          <w:szCs w:val="24"/>
          <w:lang w:eastAsia="zh-CN"/>
        </w:rPr>
        <w:t xml:space="preserve"> (Non-polar analytes in high carbohydrate food matrix: trans-Zearalenone in Maize Powder). The key comparison reference value will be used as the assigned value for this proficiency test.</w:t>
      </w:r>
    </w:p>
    <w:p w14:paraId="68AE5483" w14:textId="0B150B59" w:rsidR="00E95628" w:rsidRPr="00485FF0" w:rsidRDefault="004759AF">
      <w:pPr>
        <w:pStyle w:val="ae"/>
        <w:spacing w:beforeLines="50" w:before="120" w:afterLines="50" w:after="120" w:line="360" w:lineRule="auto"/>
        <w:rPr>
          <w:color w:val="000000" w:themeColor="text1"/>
          <w:szCs w:val="24"/>
          <w:lang w:eastAsia="zh-CN"/>
        </w:rPr>
      </w:pPr>
      <w:r w:rsidRPr="00485FF0">
        <w:rPr>
          <w:color w:val="000000" w:themeColor="text1"/>
          <w:szCs w:val="24"/>
          <w:lang w:eastAsia="zh-CN"/>
        </w:rPr>
        <w:t xml:space="preserve">The performance of the participating laboratories will be assessed using z-score, which is calculated as follows </w:t>
      </w:r>
      <w:r w:rsidRPr="00485FF0">
        <w:rPr>
          <w:color w:val="000000" w:themeColor="text1"/>
          <w:szCs w:val="24"/>
          <w:vertAlign w:val="superscript"/>
          <w:lang w:eastAsia="zh-CN"/>
        </w:rPr>
        <w:t>[</w:t>
      </w:r>
      <w:r w:rsidR="005907D6" w:rsidRPr="00485FF0">
        <w:rPr>
          <w:color w:val="000000" w:themeColor="text1"/>
          <w:szCs w:val="24"/>
          <w:vertAlign w:val="superscript"/>
          <w:lang w:eastAsia="zh-CN"/>
        </w:rPr>
        <w:t>2</w:t>
      </w:r>
      <w:r w:rsidRPr="00485FF0">
        <w:rPr>
          <w:color w:val="000000" w:themeColor="text1"/>
          <w:szCs w:val="24"/>
          <w:vertAlign w:val="superscript"/>
          <w:lang w:eastAsia="zh-CN"/>
        </w:rPr>
        <w:t>]</w:t>
      </w:r>
      <w:r w:rsidRPr="00485FF0">
        <w:rPr>
          <w:color w:val="000000" w:themeColor="text1"/>
          <w:szCs w:val="24"/>
          <w:lang w:eastAsia="zh-CN"/>
        </w:rPr>
        <w:t>:</w:t>
      </w:r>
    </w:p>
    <w:p w14:paraId="02ED06B3" w14:textId="77777777" w:rsidR="00E95628" w:rsidRPr="00485FF0" w:rsidRDefault="00E95628">
      <w:pPr>
        <w:pStyle w:val="ae"/>
        <w:spacing w:line="360" w:lineRule="auto"/>
        <w:rPr>
          <w:color w:val="000000" w:themeColor="text1"/>
          <w:szCs w:val="24"/>
          <w:lang w:eastAsia="zh-CN"/>
        </w:rPr>
      </w:pPr>
    </w:p>
    <w:p w14:paraId="5A26C416" w14:textId="77777777" w:rsidR="00E95628" w:rsidRPr="00485FF0" w:rsidRDefault="00DF0238">
      <w:pPr>
        <w:pStyle w:val="ae"/>
        <w:spacing w:line="360" w:lineRule="auto"/>
        <w:rPr>
          <w:color w:val="000000" w:themeColor="text1"/>
          <w:szCs w:val="24"/>
          <w:lang w:eastAsia="zh-CN"/>
        </w:rPr>
      </w:pPr>
      <m:oMathPara>
        <m:oMath>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z</m:t>
              </m:r>
            </m:e>
            <m:sub>
              <m:r>
                <w:rPr>
                  <w:rFonts w:ascii="Cambria Math" w:hAnsi="Cambria Math"/>
                  <w:color w:val="000000" w:themeColor="text1"/>
                  <w:szCs w:val="24"/>
                  <w:lang w:eastAsia="zh-CN"/>
                </w:rPr>
                <m:t>i</m:t>
              </m:r>
            </m:sub>
          </m:sSub>
          <m:r>
            <w:rPr>
              <w:rFonts w:ascii="Cambria Math" w:hAnsi="Cambria Math"/>
              <w:color w:val="000000" w:themeColor="text1"/>
              <w:szCs w:val="24"/>
              <w:lang w:eastAsia="zh-CN"/>
            </w:rPr>
            <m:t>=</m:t>
          </m:r>
          <m:f>
            <m:fPr>
              <m:ctrlPr>
                <w:rPr>
                  <w:rFonts w:ascii="Cambria Math" w:hAnsi="Cambria Math"/>
                  <w:i/>
                  <w:color w:val="000000" w:themeColor="text1"/>
                  <w:szCs w:val="24"/>
                  <w:lang w:eastAsia="zh-CN"/>
                </w:rPr>
              </m:ctrlPr>
            </m:fPr>
            <m:num>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x</m:t>
                  </m:r>
                </m:e>
                <m:sub>
                  <m:r>
                    <w:rPr>
                      <w:rFonts w:ascii="Cambria Math" w:hAnsi="Cambria Math"/>
                      <w:color w:val="000000" w:themeColor="text1"/>
                      <w:szCs w:val="24"/>
                      <w:lang w:eastAsia="zh-CN"/>
                    </w:rPr>
                    <m:t>i</m:t>
                  </m:r>
                </m:sub>
              </m:sSub>
              <m:r>
                <w:rPr>
                  <w:rFonts w:ascii="Cambria Math" w:hAnsi="Cambria Math"/>
                  <w:color w:val="000000" w:themeColor="text1"/>
                  <w:szCs w:val="24"/>
                  <w:lang w:eastAsia="zh-CN"/>
                </w:rPr>
                <m:t>-</m:t>
              </m:r>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x</m:t>
                  </m:r>
                </m:e>
                <m:sub>
                  <m:r>
                    <w:rPr>
                      <w:rFonts w:ascii="Cambria Math" w:hAnsi="Cambria Math"/>
                      <w:color w:val="000000" w:themeColor="text1"/>
                      <w:szCs w:val="24"/>
                      <w:lang w:eastAsia="zh-CN"/>
                    </w:rPr>
                    <m:t>pt</m:t>
                  </m:r>
                </m:sub>
              </m:sSub>
            </m:num>
            <m:den>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σ</m:t>
                  </m:r>
                </m:e>
                <m:sub>
                  <m:r>
                    <w:rPr>
                      <w:rFonts w:ascii="Cambria Math" w:hAnsi="Cambria Math"/>
                      <w:color w:val="000000" w:themeColor="text1"/>
                      <w:szCs w:val="24"/>
                      <w:lang w:eastAsia="zh-CN"/>
                    </w:rPr>
                    <m:t>pt</m:t>
                  </m:r>
                </m:sub>
              </m:sSub>
            </m:den>
          </m:f>
        </m:oMath>
      </m:oMathPara>
    </w:p>
    <w:p w14:paraId="3A2F67EF" w14:textId="0E3D8C31" w:rsidR="0082494A" w:rsidRPr="00485FF0" w:rsidRDefault="004759AF">
      <w:pPr>
        <w:pStyle w:val="ae"/>
        <w:spacing w:line="360" w:lineRule="auto"/>
        <w:rPr>
          <w:color w:val="000000" w:themeColor="text1"/>
          <w:szCs w:val="24"/>
          <w:lang w:eastAsia="zh-CN"/>
        </w:rPr>
      </w:pPr>
      <w:r w:rsidRPr="00485FF0">
        <w:rPr>
          <w:color w:val="000000" w:themeColor="text1"/>
          <w:szCs w:val="24"/>
          <w:lang w:eastAsia="zh-CN"/>
        </w:rPr>
        <w:t>Where</w:t>
      </w:r>
      <w:r w:rsidRPr="00485FF0">
        <w:rPr>
          <w:rFonts w:hint="eastAsia"/>
          <w:color w:val="000000" w:themeColor="text1"/>
          <w:szCs w:val="24"/>
          <w:lang w:eastAsia="zh-CN"/>
        </w:rPr>
        <w:t xml:space="preserve">  </w:t>
      </w:r>
    </w:p>
    <w:p w14:paraId="1C3D6FA4" w14:textId="7D3D65A2" w:rsidR="00E95628" w:rsidRPr="00485FF0" w:rsidRDefault="004759AF">
      <w:pPr>
        <w:pStyle w:val="ae"/>
        <w:spacing w:line="360" w:lineRule="auto"/>
        <w:rPr>
          <w:color w:val="000000" w:themeColor="text1"/>
          <w:szCs w:val="24"/>
          <w:lang w:eastAsia="zh-CN"/>
        </w:rPr>
      </w:pPr>
      <w:r w:rsidRPr="00485FF0">
        <w:rPr>
          <w:i/>
          <w:color w:val="000000" w:themeColor="text1"/>
          <w:szCs w:val="24"/>
          <w:lang w:eastAsia="zh-CN"/>
        </w:rPr>
        <w:t>x</w:t>
      </w:r>
      <w:r w:rsidRPr="00485FF0">
        <w:rPr>
          <w:i/>
          <w:color w:val="000000" w:themeColor="text1"/>
          <w:szCs w:val="24"/>
          <w:vertAlign w:val="subscript"/>
          <w:lang w:eastAsia="zh-CN"/>
        </w:rPr>
        <w:t xml:space="preserve">i </w:t>
      </w:r>
      <w:r w:rsidRPr="00485FF0">
        <w:rPr>
          <w:color w:val="000000" w:themeColor="text1"/>
          <w:szCs w:val="24"/>
          <w:lang w:eastAsia="zh-CN"/>
        </w:rPr>
        <w:t>: the participant’s result</w:t>
      </w:r>
    </w:p>
    <w:p w14:paraId="7BF0A36B" w14:textId="058CAFF4" w:rsidR="00E95628" w:rsidRPr="00485FF0" w:rsidRDefault="004759AF">
      <w:pPr>
        <w:pStyle w:val="ae"/>
        <w:spacing w:line="360" w:lineRule="auto"/>
        <w:rPr>
          <w:color w:val="000000" w:themeColor="text1"/>
          <w:szCs w:val="24"/>
          <w:lang w:eastAsia="zh-CN"/>
        </w:rPr>
      </w:pPr>
      <w:r w:rsidRPr="00485FF0">
        <w:rPr>
          <w:i/>
          <w:color w:val="000000" w:themeColor="text1"/>
          <w:szCs w:val="24"/>
          <w:lang w:eastAsia="zh-CN"/>
        </w:rPr>
        <w:lastRenderedPageBreak/>
        <w:t>x</w:t>
      </w:r>
      <w:r w:rsidRPr="00485FF0">
        <w:rPr>
          <w:i/>
          <w:color w:val="000000" w:themeColor="text1"/>
          <w:szCs w:val="24"/>
          <w:vertAlign w:val="subscript"/>
          <w:lang w:eastAsia="zh-CN"/>
        </w:rPr>
        <w:t>pt</w:t>
      </w:r>
      <w:r w:rsidRPr="00485FF0">
        <w:rPr>
          <w:color w:val="000000" w:themeColor="text1"/>
          <w:szCs w:val="24"/>
          <w:lang w:eastAsia="zh-CN"/>
        </w:rPr>
        <w:t xml:space="preserve"> : the assigned value*</w:t>
      </w:r>
    </w:p>
    <w:p w14:paraId="59BA2C97" w14:textId="4160FC85" w:rsidR="00E95628" w:rsidRPr="00485FF0" w:rsidRDefault="004759AF">
      <w:pPr>
        <w:pStyle w:val="ae"/>
        <w:spacing w:line="360" w:lineRule="auto"/>
        <w:rPr>
          <w:color w:val="000000" w:themeColor="text1"/>
          <w:szCs w:val="24"/>
          <w:lang w:eastAsia="zh-CN"/>
        </w:rPr>
      </w:pPr>
      <w:r w:rsidRPr="00485FF0">
        <w:rPr>
          <w:i/>
          <w:color w:val="000000" w:themeColor="text1"/>
          <w:szCs w:val="24"/>
          <w:lang w:eastAsia="zh-CN"/>
        </w:rPr>
        <w:t>σ</w:t>
      </w:r>
      <w:r w:rsidRPr="00485FF0">
        <w:rPr>
          <w:i/>
          <w:color w:val="000000" w:themeColor="text1"/>
          <w:szCs w:val="24"/>
          <w:vertAlign w:val="subscript"/>
          <w:lang w:eastAsia="zh-CN"/>
        </w:rPr>
        <w:t>pt</w:t>
      </w:r>
      <w:r w:rsidRPr="00485FF0">
        <w:rPr>
          <w:color w:val="000000" w:themeColor="text1"/>
          <w:szCs w:val="24"/>
          <w:vertAlign w:val="subscript"/>
          <w:lang w:eastAsia="zh-CN"/>
        </w:rPr>
        <w:t xml:space="preserve"> </w:t>
      </w:r>
      <w:r w:rsidRPr="00485FF0">
        <w:rPr>
          <w:color w:val="000000" w:themeColor="text1"/>
          <w:szCs w:val="24"/>
          <w:lang w:eastAsia="zh-CN"/>
        </w:rPr>
        <w:t xml:space="preserve">: the standard deviation for proficiency assessment estimated from the Horwitz equation </w:t>
      </w:r>
      <w:r w:rsidRPr="00485FF0">
        <w:rPr>
          <w:color w:val="000000" w:themeColor="text1"/>
          <w:szCs w:val="24"/>
          <w:vertAlign w:val="superscript"/>
          <w:lang w:eastAsia="zh-CN"/>
        </w:rPr>
        <w:t>[</w:t>
      </w:r>
      <w:r w:rsidR="005907D6" w:rsidRPr="00485FF0">
        <w:rPr>
          <w:color w:val="000000" w:themeColor="text1"/>
          <w:szCs w:val="24"/>
          <w:vertAlign w:val="superscript"/>
          <w:lang w:eastAsia="zh-CN"/>
        </w:rPr>
        <w:t>2</w:t>
      </w:r>
      <w:r w:rsidRPr="00485FF0">
        <w:rPr>
          <w:color w:val="000000" w:themeColor="text1"/>
          <w:szCs w:val="24"/>
          <w:vertAlign w:val="superscript"/>
          <w:lang w:eastAsia="zh-CN"/>
        </w:rPr>
        <w:t>]</w:t>
      </w:r>
    </w:p>
    <w:p w14:paraId="564D8C46" w14:textId="77777777" w:rsidR="00E95628" w:rsidRPr="00485FF0" w:rsidRDefault="00E95628">
      <w:pPr>
        <w:pStyle w:val="ae"/>
        <w:spacing w:line="360" w:lineRule="auto"/>
        <w:rPr>
          <w:color w:val="000000" w:themeColor="text1"/>
          <w:szCs w:val="24"/>
          <w:lang w:eastAsia="zh-CN"/>
        </w:rPr>
      </w:pPr>
    </w:p>
    <w:p w14:paraId="780B3716" w14:textId="40C45415" w:rsidR="00E95628" w:rsidRPr="00485FF0" w:rsidRDefault="004759AF">
      <w:pPr>
        <w:pStyle w:val="ae"/>
        <w:spacing w:beforeLines="50" w:before="120" w:afterLines="50" w:after="120" w:line="360" w:lineRule="auto"/>
        <w:jc w:val="both"/>
        <w:rPr>
          <w:color w:val="000000" w:themeColor="text1"/>
          <w:szCs w:val="24"/>
          <w:lang w:eastAsia="zh-CN"/>
        </w:rPr>
      </w:pPr>
      <w:r w:rsidRPr="00485FF0">
        <w:rPr>
          <w:color w:val="000000" w:themeColor="text1"/>
          <w:szCs w:val="24"/>
          <w:lang w:eastAsia="zh-CN"/>
        </w:rPr>
        <w:t>* Note: The Key Comparison Reference Values (KCRVs) obtained from CCQM key comparison CCQM-K1</w:t>
      </w:r>
      <w:r w:rsidRPr="00485FF0">
        <w:rPr>
          <w:rFonts w:hint="eastAsia"/>
          <w:color w:val="000000" w:themeColor="text1"/>
          <w:szCs w:val="24"/>
          <w:lang w:eastAsia="zh-CN"/>
        </w:rPr>
        <w:t>68</w:t>
      </w:r>
      <w:r w:rsidRPr="00485FF0">
        <w:rPr>
          <w:color w:val="000000" w:themeColor="text1"/>
          <w:szCs w:val="24"/>
          <w:lang w:eastAsia="zh-CN"/>
        </w:rPr>
        <w:t xml:space="preserve"> will be used as the assigned values for evaluating the performance of participants. This is in accordance with the ISO/IEC 17043 recommendations on the determination of assigned values for proficiency testing schemes </w:t>
      </w:r>
      <w:r w:rsidRPr="00485FF0">
        <w:rPr>
          <w:color w:val="000000" w:themeColor="text1"/>
          <w:szCs w:val="24"/>
          <w:vertAlign w:val="superscript"/>
          <w:lang w:eastAsia="zh-CN"/>
        </w:rPr>
        <w:t>[</w:t>
      </w:r>
      <w:r w:rsidR="005907D6" w:rsidRPr="00485FF0">
        <w:rPr>
          <w:color w:val="000000" w:themeColor="text1"/>
          <w:szCs w:val="24"/>
          <w:vertAlign w:val="superscript"/>
          <w:lang w:eastAsia="zh-CN"/>
        </w:rPr>
        <w:t>3</w:t>
      </w:r>
      <w:r w:rsidRPr="00485FF0">
        <w:rPr>
          <w:color w:val="000000" w:themeColor="text1"/>
          <w:szCs w:val="24"/>
          <w:vertAlign w:val="superscript"/>
          <w:lang w:eastAsia="zh-CN"/>
        </w:rPr>
        <w:t>]</w:t>
      </w:r>
      <w:r w:rsidRPr="00485FF0">
        <w:rPr>
          <w:color w:val="000000" w:themeColor="text1"/>
          <w:szCs w:val="24"/>
          <w:lang w:eastAsia="zh-CN"/>
        </w:rPr>
        <w:t>.</w:t>
      </w:r>
    </w:p>
    <w:p w14:paraId="614D4924" w14:textId="77777777" w:rsidR="00E95628" w:rsidRPr="00485FF0" w:rsidRDefault="004759AF">
      <w:pPr>
        <w:pStyle w:val="ae"/>
        <w:spacing w:beforeLines="50" w:before="120" w:line="360" w:lineRule="auto"/>
        <w:rPr>
          <w:color w:val="000000" w:themeColor="text1"/>
          <w:szCs w:val="24"/>
          <w:lang w:eastAsia="zh-CN"/>
        </w:rPr>
      </w:pPr>
      <w:r w:rsidRPr="00485FF0">
        <w:rPr>
          <w:color w:val="000000" w:themeColor="text1"/>
          <w:szCs w:val="24"/>
          <w:lang w:eastAsia="zh-CN"/>
        </w:rPr>
        <w:t>z-score is commonly interpreted as:</w:t>
      </w:r>
    </w:p>
    <w:p w14:paraId="6CFBD78C" w14:textId="77777777" w:rsidR="00E95628" w:rsidRPr="00485FF0" w:rsidRDefault="004759AF">
      <w:pPr>
        <w:pStyle w:val="ae"/>
        <w:numPr>
          <w:ilvl w:val="0"/>
          <w:numId w:val="2"/>
        </w:numPr>
        <w:spacing w:line="360" w:lineRule="auto"/>
        <w:rPr>
          <w:color w:val="000000" w:themeColor="text1"/>
          <w:szCs w:val="24"/>
          <w:lang w:eastAsia="zh-CN"/>
        </w:rPr>
      </w:pPr>
      <w:r w:rsidRPr="00485FF0">
        <w:rPr>
          <w:rFonts w:hint="eastAsia"/>
          <w:color w:val="000000" w:themeColor="text1"/>
          <w:szCs w:val="24"/>
          <w:lang w:eastAsia="zh-CN"/>
        </w:rPr>
        <w:t xml:space="preserve">|z| </w:t>
      </w:r>
      <w:r w:rsidRPr="00485FF0">
        <w:rPr>
          <w:rFonts w:hint="eastAsia"/>
          <w:color w:val="000000" w:themeColor="text1"/>
          <w:szCs w:val="24"/>
          <w:lang w:eastAsia="zh-CN"/>
        </w:rPr>
        <w:t>≤</w:t>
      </w:r>
      <w:r w:rsidRPr="00485FF0">
        <w:rPr>
          <w:rFonts w:hint="eastAsia"/>
          <w:color w:val="000000" w:themeColor="text1"/>
          <w:szCs w:val="24"/>
          <w:lang w:eastAsia="zh-CN"/>
        </w:rPr>
        <w:t xml:space="preserve"> 2.0</w:t>
      </w:r>
      <w:r w:rsidRPr="00485FF0">
        <w:rPr>
          <w:color w:val="000000" w:themeColor="text1"/>
          <w:szCs w:val="24"/>
          <w:lang w:eastAsia="zh-CN"/>
        </w:rPr>
        <w:t xml:space="preserve">                         Satisfactory</w:t>
      </w:r>
    </w:p>
    <w:p w14:paraId="1488FE2A" w14:textId="77777777" w:rsidR="00E95628" w:rsidRPr="00485FF0" w:rsidRDefault="004759AF">
      <w:pPr>
        <w:pStyle w:val="ae"/>
        <w:numPr>
          <w:ilvl w:val="0"/>
          <w:numId w:val="2"/>
        </w:numPr>
        <w:spacing w:line="360" w:lineRule="auto"/>
        <w:rPr>
          <w:color w:val="000000" w:themeColor="text1"/>
          <w:szCs w:val="24"/>
          <w:lang w:eastAsia="zh-CN"/>
        </w:rPr>
      </w:pPr>
      <w:r w:rsidRPr="00485FF0">
        <w:rPr>
          <w:color w:val="000000" w:themeColor="text1"/>
          <w:szCs w:val="24"/>
          <w:lang w:eastAsia="zh-CN"/>
        </w:rPr>
        <w:t xml:space="preserve">2.0 &lt; |z| &lt; 3.0                 </w:t>
      </w:r>
      <w:r w:rsidRPr="00485FF0">
        <w:rPr>
          <w:rFonts w:hint="eastAsia"/>
          <w:color w:val="000000" w:themeColor="text1"/>
          <w:szCs w:val="24"/>
          <w:lang w:eastAsia="zh-CN"/>
        </w:rPr>
        <w:t xml:space="preserve">    </w:t>
      </w:r>
      <w:r w:rsidRPr="00485FF0">
        <w:rPr>
          <w:color w:val="000000" w:themeColor="text1"/>
          <w:szCs w:val="24"/>
          <w:lang w:eastAsia="zh-CN"/>
        </w:rPr>
        <w:t xml:space="preserve"> Questionable</w:t>
      </w:r>
    </w:p>
    <w:p w14:paraId="668B3EBD" w14:textId="77777777" w:rsidR="00E95628" w:rsidRPr="00485FF0" w:rsidRDefault="004759AF">
      <w:pPr>
        <w:pStyle w:val="ae"/>
        <w:numPr>
          <w:ilvl w:val="0"/>
          <w:numId w:val="2"/>
        </w:numPr>
        <w:spacing w:line="360" w:lineRule="auto"/>
        <w:rPr>
          <w:color w:val="000000" w:themeColor="text1"/>
          <w:szCs w:val="24"/>
          <w:lang w:eastAsia="zh-CN"/>
        </w:rPr>
      </w:pPr>
      <w:r w:rsidRPr="00485FF0">
        <w:rPr>
          <w:rFonts w:hint="eastAsia"/>
          <w:color w:val="000000" w:themeColor="text1"/>
          <w:szCs w:val="24"/>
          <w:lang w:eastAsia="zh-CN"/>
        </w:rPr>
        <w:t xml:space="preserve">|z| </w:t>
      </w:r>
      <w:r w:rsidRPr="00485FF0">
        <w:rPr>
          <w:rFonts w:hint="eastAsia"/>
          <w:color w:val="000000" w:themeColor="text1"/>
          <w:szCs w:val="24"/>
          <w:lang w:eastAsia="zh-CN"/>
        </w:rPr>
        <w:t>≥</w:t>
      </w:r>
      <w:r w:rsidRPr="00485FF0">
        <w:rPr>
          <w:rFonts w:hint="eastAsia"/>
          <w:color w:val="000000" w:themeColor="text1"/>
          <w:szCs w:val="24"/>
          <w:lang w:eastAsia="zh-CN"/>
        </w:rPr>
        <w:t xml:space="preserve"> 3.0</w:t>
      </w:r>
      <w:r w:rsidRPr="00485FF0">
        <w:rPr>
          <w:color w:val="000000" w:themeColor="text1"/>
          <w:szCs w:val="24"/>
          <w:lang w:eastAsia="zh-CN"/>
        </w:rPr>
        <w:t xml:space="preserve">                         Unsatisfactory</w:t>
      </w:r>
    </w:p>
    <w:p w14:paraId="06F2BC52" w14:textId="77777777" w:rsidR="00E95628" w:rsidRPr="00485FF0" w:rsidRDefault="00E95628">
      <w:pPr>
        <w:pStyle w:val="ae"/>
        <w:spacing w:line="360" w:lineRule="auto"/>
        <w:jc w:val="both"/>
        <w:rPr>
          <w:color w:val="000000" w:themeColor="text1"/>
          <w:szCs w:val="24"/>
          <w:lang w:eastAsia="zh-CN"/>
        </w:rPr>
      </w:pPr>
    </w:p>
    <w:p w14:paraId="292F393B" w14:textId="77777777" w:rsidR="00E95628" w:rsidRPr="00485FF0" w:rsidRDefault="004759AF" w:rsidP="00485FF0">
      <w:pPr>
        <w:pStyle w:val="ae"/>
        <w:spacing w:beforeLines="50" w:before="120" w:afterLines="50" w:after="120" w:line="360" w:lineRule="auto"/>
        <w:jc w:val="both"/>
        <w:rPr>
          <w:color w:val="000000" w:themeColor="text1"/>
          <w:szCs w:val="24"/>
          <w:lang w:eastAsia="zh-CN"/>
        </w:rPr>
      </w:pPr>
      <w:r w:rsidRPr="00485FF0">
        <w:rPr>
          <w:color w:val="000000" w:themeColor="text1"/>
          <w:szCs w:val="24"/>
          <w:lang w:eastAsia="zh-CN"/>
        </w:rPr>
        <w:t>Laboratories having a |z| score equal to or larger than 3.0 shall thoroughly investigate their results for the discrepancy and those having a z-score in the range 2.0 &lt; |z| &lt; 3.0 are also encouraged to review their results.</w:t>
      </w:r>
    </w:p>
    <w:p w14:paraId="13B3630E" w14:textId="46DA7455" w:rsidR="00E95628" w:rsidRPr="00485FF0" w:rsidRDefault="004759AF">
      <w:pPr>
        <w:pStyle w:val="ae"/>
        <w:spacing w:beforeLines="50" w:before="120" w:afterLines="50" w:after="120" w:line="360" w:lineRule="auto"/>
        <w:jc w:val="both"/>
        <w:rPr>
          <w:color w:val="000000" w:themeColor="text1"/>
          <w:szCs w:val="24"/>
          <w:lang w:eastAsia="zh-CN"/>
        </w:rPr>
      </w:pPr>
      <w:r w:rsidRPr="00485FF0">
        <w:rPr>
          <w:color w:val="000000" w:themeColor="text1"/>
          <w:szCs w:val="24"/>
          <w:lang w:eastAsia="zh-CN"/>
        </w:rPr>
        <w:t xml:space="preserve">For reference purpose, the performance of the participating laboratories will be assessed using zeta-score (ζ), which is calculated as follows </w:t>
      </w:r>
      <w:r w:rsidRPr="00485FF0">
        <w:rPr>
          <w:color w:val="000000" w:themeColor="text1"/>
          <w:szCs w:val="24"/>
          <w:vertAlign w:val="superscript"/>
          <w:lang w:eastAsia="zh-CN"/>
        </w:rPr>
        <w:t>[</w:t>
      </w:r>
      <w:r w:rsidR="005907D6" w:rsidRPr="00485FF0">
        <w:rPr>
          <w:color w:val="000000" w:themeColor="text1"/>
          <w:szCs w:val="24"/>
          <w:vertAlign w:val="superscript"/>
          <w:lang w:eastAsia="zh-CN"/>
        </w:rPr>
        <w:t>2</w:t>
      </w:r>
      <w:r w:rsidRPr="00485FF0">
        <w:rPr>
          <w:color w:val="000000" w:themeColor="text1"/>
          <w:szCs w:val="24"/>
          <w:vertAlign w:val="superscript"/>
          <w:lang w:eastAsia="zh-CN"/>
        </w:rPr>
        <w:t>]</w:t>
      </w:r>
      <w:r w:rsidRPr="00485FF0">
        <w:rPr>
          <w:color w:val="000000" w:themeColor="text1"/>
          <w:szCs w:val="24"/>
          <w:lang w:eastAsia="zh-CN"/>
        </w:rPr>
        <w:t>:</w:t>
      </w:r>
    </w:p>
    <w:p w14:paraId="6697BE89" w14:textId="77777777" w:rsidR="00E95628" w:rsidRPr="00485FF0" w:rsidRDefault="00DF0238">
      <w:pPr>
        <w:pStyle w:val="ae"/>
        <w:spacing w:line="360" w:lineRule="auto"/>
        <w:jc w:val="both"/>
        <w:rPr>
          <w:color w:val="000000" w:themeColor="text1"/>
          <w:szCs w:val="24"/>
          <w:lang w:eastAsia="zh-CN"/>
        </w:rPr>
      </w:pPr>
      <m:oMathPara>
        <m:oMath>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ζ</m:t>
              </m:r>
            </m:e>
            <m:sub>
              <m:r>
                <w:rPr>
                  <w:rFonts w:ascii="Cambria Math" w:hAnsi="Cambria Math"/>
                  <w:color w:val="000000" w:themeColor="text1"/>
                  <w:szCs w:val="24"/>
                  <w:lang w:eastAsia="zh-CN"/>
                </w:rPr>
                <m:t>i</m:t>
              </m:r>
            </m:sub>
          </m:sSub>
          <m:r>
            <w:rPr>
              <w:rFonts w:ascii="Cambria Math" w:hAnsi="Cambria Math"/>
              <w:color w:val="000000" w:themeColor="text1"/>
              <w:szCs w:val="24"/>
              <w:lang w:eastAsia="zh-CN"/>
            </w:rPr>
            <m:t>=</m:t>
          </m:r>
          <m:f>
            <m:fPr>
              <m:ctrlPr>
                <w:rPr>
                  <w:rFonts w:ascii="Cambria Math" w:hAnsi="Cambria Math"/>
                  <w:i/>
                  <w:color w:val="000000" w:themeColor="text1"/>
                  <w:szCs w:val="24"/>
                  <w:lang w:eastAsia="zh-CN"/>
                </w:rPr>
              </m:ctrlPr>
            </m:fPr>
            <m:num>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x</m:t>
                  </m:r>
                </m:e>
                <m:sub>
                  <m:r>
                    <w:rPr>
                      <w:rFonts w:ascii="Cambria Math" w:hAnsi="Cambria Math"/>
                      <w:color w:val="000000" w:themeColor="text1"/>
                      <w:szCs w:val="24"/>
                      <w:lang w:eastAsia="zh-CN"/>
                    </w:rPr>
                    <m:t>i</m:t>
                  </m:r>
                </m:sub>
              </m:sSub>
              <m:r>
                <w:rPr>
                  <w:rFonts w:ascii="Cambria Math" w:hAnsi="Cambria Math"/>
                  <w:color w:val="000000" w:themeColor="text1"/>
                  <w:szCs w:val="24"/>
                  <w:lang w:eastAsia="zh-CN"/>
                </w:rPr>
                <m:t>-</m:t>
              </m:r>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x</m:t>
                  </m:r>
                </m:e>
                <m:sub>
                  <m:r>
                    <w:rPr>
                      <w:rFonts w:ascii="Cambria Math" w:hAnsi="Cambria Math"/>
                      <w:color w:val="000000" w:themeColor="text1"/>
                      <w:szCs w:val="24"/>
                      <w:lang w:eastAsia="zh-CN"/>
                    </w:rPr>
                    <m:t>pt</m:t>
                  </m:r>
                </m:sub>
              </m:sSub>
            </m:num>
            <m:den>
              <m:rad>
                <m:radPr>
                  <m:degHide m:val="1"/>
                  <m:ctrlPr>
                    <w:rPr>
                      <w:rFonts w:ascii="Cambria Math" w:hAnsi="Cambria Math"/>
                      <w:i/>
                      <w:color w:val="000000" w:themeColor="text1"/>
                      <w:szCs w:val="24"/>
                      <w:lang w:eastAsia="zh-CN"/>
                    </w:rPr>
                  </m:ctrlPr>
                </m:radPr>
                <m:deg/>
                <m:e>
                  <m:sSubSup>
                    <m:sSubSupPr>
                      <m:ctrlPr>
                        <w:rPr>
                          <w:rFonts w:ascii="Cambria Math" w:hAnsi="Cambria Math"/>
                          <w:i/>
                          <w:color w:val="000000" w:themeColor="text1"/>
                          <w:szCs w:val="24"/>
                          <w:lang w:eastAsia="zh-CN"/>
                        </w:rPr>
                      </m:ctrlPr>
                    </m:sSubSupPr>
                    <m:e>
                      <m:r>
                        <w:rPr>
                          <w:rFonts w:ascii="Cambria Math" w:hAnsi="Cambria Math"/>
                          <w:color w:val="000000" w:themeColor="text1"/>
                          <w:szCs w:val="24"/>
                          <w:lang w:eastAsia="zh-CN"/>
                        </w:rPr>
                        <m:t>u</m:t>
                      </m:r>
                    </m:e>
                    <m:sub>
                      <m:r>
                        <w:rPr>
                          <w:rFonts w:ascii="Cambria Math" w:hAnsi="Cambria Math"/>
                          <w:color w:val="000000" w:themeColor="text1"/>
                          <w:szCs w:val="24"/>
                          <w:lang w:eastAsia="zh-CN"/>
                        </w:rPr>
                        <m:t>(</m:t>
                      </m:r>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x</m:t>
                          </m:r>
                        </m:e>
                        <m:sub>
                          <m:r>
                            <w:rPr>
                              <w:rFonts w:ascii="Cambria Math" w:hAnsi="Cambria Math"/>
                              <w:color w:val="000000" w:themeColor="text1"/>
                              <w:szCs w:val="24"/>
                              <w:lang w:eastAsia="zh-CN"/>
                            </w:rPr>
                            <m:t>i</m:t>
                          </m:r>
                        </m:sub>
                      </m:sSub>
                      <m:r>
                        <w:rPr>
                          <w:rFonts w:ascii="Cambria Math" w:hAnsi="Cambria Math"/>
                          <w:color w:val="000000" w:themeColor="text1"/>
                          <w:szCs w:val="24"/>
                          <w:lang w:eastAsia="zh-CN"/>
                        </w:rPr>
                        <m:t>)</m:t>
                      </m:r>
                    </m:sub>
                    <m:sup>
                      <m:r>
                        <w:rPr>
                          <w:rFonts w:ascii="Cambria Math" w:hAnsi="Cambria Math"/>
                          <w:color w:val="000000" w:themeColor="text1"/>
                          <w:szCs w:val="24"/>
                          <w:lang w:eastAsia="zh-CN"/>
                        </w:rPr>
                        <m:t>2</m:t>
                      </m:r>
                    </m:sup>
                  </m:sSubSup>
                  <m:r>
                    <w:rPr>
                      <w:rFonts w:ascii="Cambria Math" w:hAnsi="Cambria Math"/>
                      <w:color w:val="000000" w:themeColor="text1"/>
                      <w:szCs w:val="24"/>
                      <w:lang w:eastAsia="zh-CN"/>
                    </w:rPr>
                    <m:t>+</m:t>
                  </m:r>
                  <m:sSubSup>
                    <m:sSubSupPr>
                      <m:ctrlPr>
                        <w:rPr>
                          <w:rFonts w:ascii="Cambria Math" w:hAnsi="Cambria Math"/>
                          <w:i/>
                          <w:color w:val="000000" w:themeColor="text1"/>
                          <w:szCs w:val="24"/>
                          <w:lang w:eastAsia="zh-CN"/>
                        </w:rPr>
                      </m:ctrlPr>
                    </m:sSubSupPr>
                    <m:e>
                      <m:r>
                        <w:rPr>
                          <w:rFonts w:ascii="Cambria Math" w:hAnsi="Cambria Math"/>
                          <w:color w:val="000000" w:themeColor="text1"/>
                          <w:szCs w:val="24"/>
                          <w:lang w:eastAsia="zh-CN"/>
                        </w:rPr>
                        <m:t>u</m:t>
                      </m:r>
                    </m:e>
                    <m:sub>
                      <m:r>
                        <w:rPr>
                          <w:rFonts w:ascii="Cambria Math" w:hAnsi="Cambria Math"/>
                          <w:color w:val="000000" w:themeColor="text1"/>
                          <w:szCs w:val="24"/>
                          <w:lang w:eastAsia="zh-CN"/>
                        </w:rPr>
                        <m:t>(</m:t>
                      </m:r>
                      <m:sSub>
                        <m:sSubPr>
                          <m:ctrlPr>
                            <w:rPr>
                              <w:rFonts w:ascii="Cambria Math" w:hAnsi="Cambria Math"/>
                              <w:i/>
                              <w:color w:val="000000" w:themeColor="text1"/>
                              <w:szCs w:val="24"/>
                              <w:lang w:eastAsia="zh-CN"/>
                            </w:rPr>
                          </m:ctrlPr>
                        </m:sSubPr>
                        <m:e>
                          <m:r>
                            <w:rPr>
                              <w:rFonts w:ascii="Cambria Math" w:hAnsi="Cambria Math"/>
                              <w:color w:val="000000" w:themeColor="text1"/>
                              <w:szCs w:val="24"/>
                              <w:lang w:eastAsia="zh-CN"/>
                            </w:rPr>
                            <m:t>x</m:t>
                          </m:r>
                        </m:e>
                        <m:sub>
                          <m:r>
                            <w:rPr>
                              <w:rFonts w:ascii="Cambria Math" w:hAnsi="Cambria Math"/>
                              <w:color w:val="000000" w:themeColor="text1"/>
                              <w:szCs w:val="24"/>
                              <w:lang w:eastAsia="zh-CN"/>
                            </w:rPr>
                            <m:t>pt</m:t>
                          </m:r>
                        </m:sub>
                      </m:sSub>
                      <m:r>
                        <w:rPr>
                          <w:rFonts w:ascii="Cambria Math" w:hAnsi="Cambria Math"/>
                          <w:color w:val="000000" w:themeColor="text1"/>
                          <w:szCs w:val="24"/>
                          <w:lang w:eastAsia="zh-CN"/>
                        </w:rPr>
                        <m:t>)</m:t>
                      </m:r>
                    </m:sub>
                    <m:sup>
                      <m:r>
                        <w:rPr>
                          <w:rFonts w:ascii="Cambria Math" w:hAnsi="Cambria Math"/>
                          <w:color w:val="000000" w:themeColor="text1"/>
                          <w:szCs w:val="24"/>
                          <w:lang w:eastAsia="zh-CN"/>
                        </w:rPr>
                        <m:t>2</m:t>
                      </m:r>
                    </m:sup>
                  </m:sSubSup>
                </m:e>
              </m:rad>
            </m:den>
          </m:f>
        </m:oMath>
      </m:oMathPara>
    </w:p>
    <w:p w14:paraId="2E4B8C2D" w14:textId="77777777" w:rsidR="00FC72EB" w:rsidRPr="00485FF0" w:rsidRDefault="004759AF">
      <w:pPr>
        <w:pStyle w:val="ae"/>
        <w:spacing w:line="360" w:lineRule="auto"/>
        <w:rPr>
          <w:color w:val="000000" w:themeColor="text1"/>
          <w:szCs w:val="24"/>
          <w:lang w:eastAsia="zh-CN"/>
        </w:rPr>
      </w:pPr>
      <w:r w:rsidRPr="00485FF0">
        <w:rPr>
          <w:color w:val="000000" w:themeColor="text1"/>
          <w:szCs w:val="24"/>
          <w:lang w:eastAsia="zh-CN"/>
        </w:rPr>
        <w:t>Where</w:t>
      </w:r>
    </w:p>
    <w:p w14:paraId="6675723F" w14:textId="40779449" w:rsidR="00E95628" w:rsidRPr="00485FF0" w:rsidRDefault="004759AF">
      <w:pPr>
        <w:pStyle w:val="ae"/>
        <w:spacing w:line="360" w:lineRule="auto"/>
        <w:rPr>
          <w:color w:val="000000" w:themeColor="text1"/>
          <w:szCs w:val="24"/>
          <w:lang w:eastAsia="zh-CN"/>
        </w:rPr>
      </w:pPr>
      <w:r w:rsidRPr="00485FF0">
        <w:rPr>
          <w:i/>
          <w:color w:val="000000" w:themeColor="text1"/>
          <w:szCs w:val="24"/>
          <w:lang w:eastAsia="zh-CN"/>
        </w:rPr>
        <w:t>x</w:t>
      </w:r>
      <w:r w:rsidRPr="00485FF0">
        <w:rPr>
          <w:i/>
          <w:color w:val="000000" w:themeColor="text1"/>
          <w:szCs w:val="24"/>
          <w:vertAlign w:val="subscript"/>
          <w:lang w:eastAsia="zh-CN"/>
        </w:rPr>
        <w:t>i</w:t>
      </w:r>
      <w:r w:rsidRPr="00485FF0">
        <w:rPr>
          <w:color w:val="000000" w:themeColor="text1"/>
          <w:szCs w:val="24"/>
          <w:lang w:eastAsia="zh-CN"/>
        </w:rPr>
        <w:t>:</w:t>
      </w:r>
      <w:r w:rsidR="00FC72EB" w:rsidRPr="00485FF0">
        <w:rPr>
          <w:color w:val="000000" w:themeColor="text1"/>
          <w:szCs w:val="24"/>
          <w:lang w:eastAsia="zh-CN"/>
        </w:rPr>
        <w:t xml:space="preserve"> </w:t>
      </w:r>
      <w:r w:rsidRPr="00485FF0">
        <w:rPr>
          <w:color w:val="000000" w:themeColor="text1"/>
          <w:szCs w:val="24"/>
          <w:lang w:eastAsia="zh-CN"/>
        </w:rPr>
        <w:t>the participant’s result</w:t>
      </w:r>
    </w:p>
    <w:p w14:paraId="42ACCAFB" w14:textId="468095DA" w:rsidR="00E95628" w:rsidRPr="00485FF0" w:rsidRDefault="004759AF">
      <w:pPr>
        <w:pStyle w:val="ae"/>
        <w:spacing w:line="360" w:lineRule="auto"/>
        <w:rPr>
          <w:color w:val="000000" w:themeColor="text1"/>
          <w:szCs w:val="24"/>
          <w:lang w:eastAsia="zh-CN"/>
        </w:rPr>
      </w:pPr>
      <w:r w:rsidRPr="00485FF0">
        <w:rPr>
          <w:i/>
          <w:color w:val="000000" w:themeColor="text1"/>
          <w:szCs w:val="24"/>
          <w:lang w:eastAsia="zh-CN"/>
        </w:rPr>
        <w:t>x</w:t>
      </w:r>
      <w:r w:rsidRPr="00485FF0">
        <w:rPr>
          <w:i/>
          <w:color w:val="000000" w:themeColor="text1"/>
          <w:szCs w:val="24"/>
          <w:vertAlign w:val="subscript"/>
          <w:lang w:eastAsia="zh-CN"/>
        </w:rPr>
        <w:t>pt</w:t>
      </w:r>
      <w:r w:rsidRPr="00485FF0">
        <w:rPr>
          <w:color w:val="000000" w:themeColor="text1"/>
          <w:szCs w:val="24"/>
          <w:lang w:eastAsia="zh-CN"/>
        </w:rPr>
        <w:t>:</w:t>
      </w:r>
      <w:r w:rsidR="00FC72EB" w:rsidRPr="00485FF0">
        <w:rPr>
          <w:color w:val="000000" w:themeColor="text1"/>
          <w:szCs w:val="24"/>
          <w:lang w:eastAsia="zh-CN"/>
        </w:rPr>
        <w:t xml:space="preserve"> </w:t>
      </w:r>
      <w:r w:rsidRPr="00485FF0">
        <w:rPr>
          <w:color w:val="000000" w:themeColor="text1"/>
          <w:szCs w:val="24"/>
          <w:lang w:eastAsia="zh-CN"/>
        </w:rPr>
        <w:t>the assigned value (KCRV)</w:t>
      </w:r>
    </w:p>
    <w:p w14:paraId="79F3CED4" w14:textId="4E01A429" w:rsidR="00E95628" w:rsidRPr="00485FF0" w:rsidRDefault="004759AF">
      <w:pPr>
        <w:pStyle w:val="ae"/>
        <w:spacing w:line="360" w:lineRule="auto"/>
        <w:rPr>
          <w:color w:val="000000" w:themeColor="text1"/>
          <w:szCs w:val="24"/>
          <w:lang w:eastAsia="zh-CN"/>
        </w:rPr>
      </w:pPr>
      <w:r w:rsidRPr="00485FF0">
        <w:rPr>
          <w:i/>
          <w:color w:val="000000" w:themeColor="text1"/>
          <w:szCs w:val="24"/>
          <w:lang w:eastAsia="zh-CN"/>
        </w:rPr>
        <w:t>u</w:t>
      </w:r>
      <w:r w:rsidRPr="00485FF0">
        <w:rPr>
          <w:i/>
          <w:color w:val="000000" w:themeColor="text1"/>
          <w:szCs w:val="24"/>
          <w:vertAlign w:val="subscript"/>
          <w:lang w:eastAsia="zh-CN"/>
        </w:rPr>
        <w:t>(xi)</w:t>
      </w:r>
      <w:r w:rsidRPr="00485FF0">
        <w:rPr>
          <w:color w:val="000000" w:themeColor="text1"/>
          <w:szCs w:val="24"/>
          <w:lang w:eastAsia="zh-CN"/>
        </w:rPr>
        <w:t>:</w:t>
      </w:r>
      <w:r w:rsidR="00FC72EB" w:rsidRPr="00485FF0">
        <w:rPr>
          <w:color w:val="000000" w:themeColor="text1"/>
          <w:szCs w:val="24"/>
          <w:lang w:eastAsia="zh-CN"/>
        </w:rPr>
        <w:t xml:space="preserve"> </w:t>
      </w:r>
      <w:r w:rsidRPr="00485FF0">
        <w:rPr>
          <w:color w:val="000000" w:themeColor="text1"/>
          <w:szCs w:val="24"/>
          <w:lang w:eastAsia="zh-CN"/>
        </w:rPr>
        <w:t xml:space="preserve">the participant’s own estimate of the standard uncertainty of its result </w:t>
      </w:r>
      <w:r w:rsidRPr="00485FF0">
        <w:rPr>
          <w:i/>
          <w:color w:val="000000" w:themeColor="text1"/>
          <w:szCs w:val="24"/>
          <w:lang w:eastAsia="zh-CN"/>
        </w:rPr>
        <w:t>x</w:t>
      </w:r>
      <w:r w:rsidRPr="00485FF0">
        <w:rPr>
          <w:i/>
          <w:color w:val="000000" w:themeColor="text1"/>
          <w:szCs w:val="24"/>
          <w:vertAlign w:val="subscript"/>
          <w:lang w:eastAsia="zh-CN"/>
        </w:rPr>
        <w:t>i</w:t>
      </w:r>
      <w:r w:rsidRPr="00485FF0">
        <w:rPr>
          <w:color w:val="000000" w:themeColor="text1"/>
          <w:szCs w:val="24"/>
          <w:lang w:eastAsia="zh-CN"/>
        </w:rPr>
        <w:t>.</w:t>
      </w:r>
    </w:p>
    <w:p w14:paraId="19529E71" w14:textId="30039C2D" w:rsidR="00E95628" w:rsidRPr="00485FF0" w:rsidRDefault="004759AF">
      <w:pPr>
        <w:pStyle w:val="ae"/>
        <w:spacing w:line="360" w:lineRule="auto"/>
        <w:rPr>
          <w:color w:val="000000" w:themeColor="text1"/>
          <w:szCs w:val="24"/>
          <w:lang w:eastAsia="zh-CN"/>
        </w:rPr>
      </w:pPr>
      <w:r w:rsidRPr="00485FF0">
        <w:rPr>
          <w:i/>
          <w:color w:val="000000" w:themeColor="text1"/>
          <w:szCs w:val="24"/>
          <w:lang w:eastAsia="zh-CN"/>
        </w:rPr>
        <w:t>u</w:t>
      </w:r>
      <w:r w:rsidRPr="00485FF0">
        <w:rPr>
          <w:i/>
          <w:color w:val="000000" w:themeColor="text1"/>
          <w:szCs w:val="24"/>
          <w:vertAlign w:val="subscript"/>
          <w:lang w:eastAsia="zh-CN"/>
        </w:rPr>
        <w:t>(xpt)</w:t>
      </w:r>
      <w:r w:rsidRPr="00485FF0">
        <w:rPr>
          <w:color w:val="000000" w:themeColor="text1"/>
          <w:szCs w:val="24"/>
          <w:lang w:eastAsia="zh-CN"/>
        </w:rPr>
        <w:t>:</w:t>
      </w:r>
      <w:r w:rsidR="00FC72EB" w:rsidRPr="00485FF0">
        <w:rPr>
          <w:color w:val="000000" w:themeColor="text1"/>
          <w:szCs w:val="24"/>
          <w:lang w:eastAsia="zh-CN"/>
        </w:rPr>
        <w:t xml:space="preserve"> </w:t>
      </w:r>
      <w:r w:rsidRPr="00485FF0">
        <w:rPr>
          <w:color w:val="000000" w:themeColor="text1"/>
          <w:szCs w:val="24"/>
          <w:lang w:eastAsia="zh-CN"/>
        </w:rPr>
        <w:t xml:space="preserve">the standard uncertainty of the assigned value </w:t>
      </w:r>
      <w:r w:rsidRPr="00485FF0">
        <w:rPr>
          <w:i/>
          <w:color w:val="000000" w:themeColor="text1"/>
          <w:szCs w:val="24"/>
          <w:lang w:eastAsia="zh-CN"/>
        </w:rPr>
        <w:t>x</w:t>
      </w:r>
      <w:r w:rsidRPr="00485FF0">
        <w:rPr>
          <w:i/>
          <w:color w:val="000000" w:themeColor="text1"/>
          <w:szCs w:val="24"/>
          <w:vertAlign w:val="subscript"/>
          <w:lang w:eastAsia="zh-CN"/>
        </w:rPr>
        <w:t>pt</w:t>
      </w:r>
    </w:p>
    <w:p w14:paraId="11951F9C" w14:textId="77777777" w:rsidR="00E95628" w:rsidRPr="00485FF0" w:rsidRDefault="00E95628">
      <w:pPr>
        <w:pStyle w:val="ae"/>
        <w:spacing w:line="360" w:lineRule="auto"/>
        <w:jc w:val="both"/>
        <w:rPr>
          <w:b/>
          <w:color w:val="000000" w:themeColor="text1"/>
          <w:szCs w:val="24"/>
          <w:lang w:eastAsia="zh-CN"/>
        </w:rPr>
      </w:pPr>
    </w:p>
    <w:p w14:paraId="20EA4CE2" w14:textId="77777777" w:rsidR="00E95628" w:rsidRDefault="004759AF">
      <w:pPr>
        <w:pStyle w:val="ae"/>
        <w:spacing w:beforeLines="50" w:before="120" w:afterLines="50" w:after="120" w:line="360" w:lineRule="auto"/>
        <w:jc w:val="both"/>
        <w:rPr>
          <w:b/>
          <w:szCs w:val="24"/>
          <w:lang w:eastAsia="zh-CN"/>
        </w:rPr>
      </w:pPr>
      <w:r w:rsidRPr="00485FF0">
        <w:rPr>
          <w:color w:val="000000" w:themeColor="text1"/>
          <w:szCs w:val="24"/>
          <w:lang w:eastAsia="zh-CN"/>
        </w:rPr>
        <w:t xml:space="preserve">ζ-scores are interpreted as in the same way as z-scores using the same critical values of 2.0 and 3.0. ζ-scores may be used in conjunction with z-scores, as an aid for improving the performance of laboratories as follows. If a laboratory obtains |z| scores that exceed 3.0, they may find it of value to examine their test procedure step by step and derive an uncertainty budget for that </w:t>
      </w:r>
      <w:r w:rsidRPr="00485FF0">
        <w:rPr>
          <w:color w:val="000000" w:themeColor="text1"/>
          <w:szCs w:val="24"/>
          <w:lang w:eastAsia="zh-CN"/>
        </w:rPr>
        <w:lastRenderedPageBreak/>
        <w:t>procedure. The uncertainty budget will identif</w:t>
      </w:r>
      <w:r>
        <w:rPr>
          <w:szCs w:val="24"/>
          <w:lang w:eastAsia="zh-CN"/>
        </w:rPr>
        <w:t>y the steps in the procedure where the largest uncertainties arise, so that the laboratory can see where to expend effort to achieve an improvement. If their |ζ| scores also exceed the critical value of 3.0, it implies that their uncertainty budget does not include all significant sources of uncertainty. Laboratories are encouraged to review their uncertainty budget.</w:t>
      </w:r>
    </w:p>
    <w:p w14:paraId="57945031" w14:textId="77777777" w:rsidR="00E95628" w:rsidRDefault="004759AF">
      <w:pPr>
        <w:pStyle w:val="ae"/>
        <w:spacing w:beforeLines="100" w:before="240" w:afterLines="50" w:after="120" w:line="360" w:lineRule="auto"/>
        <w:jc w:val="both"/>
        <w:rPr>
          <w:b/>
          <w:bCs/>
          <w:sz w:val="23"/>
          <w:szCs w:val="23"/>
        </w:rPr>
      </w:pPr>
      <w:r>
        <w:rPr>
          <w:b/>
          <w:bCs/>
          <w:sz w:val="23"/>
          <w:szCs w:val="23"/>
        </w:rPr>
        <w:t>Confidentiality</w:t>
      </w:r>
    </w:p>
    <w:p w14:paraId="6FD55CB0" w14:textId="77777777" w:rsidR="00E95628" w:rsidRDefault="004759AF">
      <w:pPr>
        <w:pStyle w:val="ae"/>
        <w:spacing w:beforeLines="50" w:before="120" w:afterLines="50" w:after="120" w:line="360" w:lineRule="auto"/>
        <w:rPr>
          <w:szCs w:val="24"/>
          <w:lang w:eastAsia="zh-CN"/>
        </w:rPr>
      </w:pPr>
      <w:r>
        <w:rPr>
          <w:szCs w:val="24"/>
          <w:lang w:eastAsia="zh-CN"/>
        </w:rPr>
        <w:t>The proficiency testing programme is conducted in the belief that participants will perform the analysis and report results with scientific rigour. Collusion and falsification of results are clearly against the spirit of the proficiency testing programme.</w:t>
      </w:r>
    </w:p>
    <w:p w14:paraId="6751B390" w14:textId="77777777" w:rsidR="00E95628" w:rsidRDefault="004759AF" w:rsidP="004545B9">
      <w:pPr>
        <w:pStyle w:val="ae"/>
        <w:spacing w:beforeLines="50" w:before="120" w:afterLines="50" w:after="120" w:line="360" w:lineRule="auto"/>
        <w:jc w:val="both"/>
        <w:rPr>
          <w:szCs w:val="24"/>
          <w:lang w:eastAsia="zh-CN"/>
        </w:rPr>
      </w:pPr>
      <w:r>
        <w:rPr>
          <w:szCs w:val="24"/>
          <w:lang w:eastAsia="zh-CN"/>
        </w:rPr>
        <w:t xml:space="preserve">The concerned parties (APMP, APAC and NIM) strive to maintain strict confidentiality with respect to composition of the proficiency test samples distributed and the performance of all participating laboratories. To preserve the confidentiality, participants receive report(s) giving all results for assessment but without identifying individual laboratories. </w:t>
      </w:r>
    </w:p>
    <w:p w14:paraId="44627D3E" w14:textId="77777777" w:rsidR="00E95628" w:rsidRDefault="004759AF">
      <w:pPr>
        <w:pStyle w:val="ae"/>
        <w:spacing w:beforeLines="50" w:before="120" w:afterLines="50" w:after="120" w:line="360" w:lineRule="auto"/>
        <w:jc w:val="both"/>
        <w:rPr>
          <w:szCs w:val="24"/>
          <w:lang w:eastAsia="zh-CN"/>
        </w:rPr>
      </w:pPr>
      <w:r>
        <w:rPr>
          <w:szCs w:val="24"/>
          <w:lang w:eastAsia="zh-CN"/>
        </w:rPr>
        <w:t>In general, all information on participant performance shall not be disclosed to any third party unless prior agreement with the concerned participants has been obtained or applicable laws or regulations stipulate such disclosure. NIM, the proficiency testing provider for this proficiency testing programme, shall also take into consideration local regulatory requirements for the disclosure of confidential information. NIM may disclose any relevant information to China National Accreditation Service for accreditation purposes, with the consent/agreement obtained from participating laboratories through completion of the Registration Form/Sample Receipt Form / Result Proforma for this proficiency testing programme.</w:t>
      </w:r>
    </w:p>
    <w:p w14:paraId="116B9CE0" w14:textId="77777777" w:rsidR="00E95628" w:rsidRDefault="004759AF">
      <w:pPr>
        <w:pStyle w:val="Titre10"/>
        <w:numPr>
          <w:ilvl w:val="0"/>
          <w:numId w:val="0"/>
        </w:numPr>
        <w:spacing w:beforeLines="100" w:before="240" w:afterLines="50" w:line="360" w:lineRule="auto"/>
        <w:rPr>
          <w:rFonts w:ascii="Times New Roman" w:hAnsi="Times New Roman" w:cstheme="minorBidi"/>
          <w:bCs w:val="0"/>
          <w:kern w:val="0"/>
          <w:sz w:val="24"/>
          <w:szCs w:val="24"/>
          <w:lang w:val="en-US"/>
        </w:rPr>
      </w:pPr>
      <w:r>
        <w:rPr>
          <w:rFonts w:ascii="Times New Roman" w:hAnsi="Times New Roman" w:cstheme="minorBidi"/>
          <w:bCs w:val="0"/>
          <w:kern w:val="0"/>
          <w:sz w:val="24"/>
          <w:szCs w:val="24"/>
          <w:lang w:val="en-US"/>
        </w:rPr>
        <w:t>Invitation and selection of participants</w:t>
      </w:r>
    </w:p>
    <w:p w14:paraId="686DFFAF" w14:textId="77777777" w:rsidR="00E95628" w:rsidRDefault="004759AF">
      <w:pPr>
        <w:pStyle w:val="Textenormal1"/>
        <w:spacing w:beforeLines="50" w:before="120" w:afterLines="50" w:after="120" w:line="360" w:lineRule="auto"/>
        <w:rPr>
          <w:rFonts w:ascii="Times New Roman" w:hAnsi="Times New Roman"/>
        </w:rPr>
      </w:pPr>
      <w:r>
        <w:rPr>
          <w:rFonts w:ascii="Times New Roman" w:hAnsi="Times New Roman"/>
          <w:lang w:val="en-CA"/>
        </w:rPr>
        <w:t xml:space="preserve">APAC members and APMP Developing Economies’ Committee (APMP DEC) members will be invited to participate in this program. Once this proposal is approved by the </w:t>
      </w:r>
      <w:r>
        <w:rPr>
          <w:rFonts w:ascii="Times New Roman" w:hAnsi="Times New Roman"/>
        </w:rPr>
        <w:t xml:space="preserve">APAC Proficiency Testing Committee, </w:t>
      </w:r>
      <w:r>
        <w:rPr>
          <w:rFonts w:ascii="Times New Roman" w:hAnsi="Times New Roman"/>
          <w:lang w:val="en-CA"/>
        </w:rPr>
        <w:t xml:space="preserve">invitations will be sent to all APAC members through their accreditation bodies, </w:t>
      </w:r>
      <w:r>
        <w:rPr>
          <w:rFonts w:ascii="Times New Roman" w:hAnsi="Times New Roman"/>
        </w:rPr>
        <w:t>and to APMP DEC members by APMP DEC Chairs.</w:t>
      </w:r>
    </w:p>
    <w:p w14:paraId="5EF6D342" w14:textId="77777777" w:rsidR="00E95628" w:rsidRDefault="004759AF">
      <w:pPr>
        <w:pStyle w:val="ae"/>
        <w:spacing w:line="360" w:lineRule="auto"/>
        <w:rPr>
          <w:szCs w:val="24"/>
          <w:lang w:eastAsia="zh-CN"/>
        </w:rPr>
      </w:pPr>
      <w:r>
        <w:rPr>
          <w:szCs w:val="24"/>
          <w:lang w:eastAsia="zh-CN"/>
        </w:rPr>
        <w:t>Total number of participants for this Joint PT programme will be 65.</w:t>
      </w:r>
    </w:p>
    <w:p w14:paraId="3E138064" w14:textId="77777777" w:rsidR="00E95628" w:rsidRDefault="004759AF">
      <w:pPr>
        <w:pStyle w:val="ae"/>
        <w:spacing w:line="360" w:lineRule="auto"/>
        <w:rPr>
          <w:szCs w:val="24"/>
          <w:lang w:eastAsia="zh-CN"/>
        </w:rPr>
      </w:pPr>
      <w:r>
        <w:rPr>
          <w:szCs w:val="24"/>
          <w:lang w:eastAsia="zh-CN"/>
        </w:rPr>
        <w:t>Laboratories nominated by the APMP DEC are about 15.</w:t>
      </w:r>
    </w:p>
    <w:p w14:paraId="0D314802" w14:textId="23DD5DC0" w:rsidR="00E95628" w:rsidRDefault="004759AF">
      <w:pPr>
        <w:pStyle w:val="ae"/>
        <w:spacing w:line="360" w:lineRule="auto"/>
        <w:jc w:val="both"/>
        <w:rPr>
          <w:szCs w:val="24"/>
          <w:lang w:eastAsia="zh-CN"/>
        </w:rPr>
      </w:pPr>
      <w:r>
        <w:rPr>
          <w:szCs w:val="24"/>
          <w:lang w:eastAsia="zh-CN"/>
        </w:rPr>
        <w:lastRenderedPageBreak/>
        <w:t>Laboratories nominated by APAC accreditation bodies and non-APAC accreditation bodies are about 50.</w:t>
      </w:r>
    </w:p>
    <w:p w14:paraId="6B2BEA14" w14:textId="77777777" w:rsidR="00195161" w:rsidRPr="00936797" w:rsidRDefault="00195161" w:rsidP="00195161">
      <w:pPr>
        <w:pStyle w:val="ae"/>
        <w:spacing w:line="360" w:lineRule="auto"/>
        <w:jc w:val="both"/>
        <w:rPr>
          <w:color w:val="000000" w:themeColor="text1"/>
          <w:szCs w:val="24"/>
          <w:lang w:eastAsia="zh-CN"/>
        </w:rPr>
      </w:pPr>
      <w:r w:rsidRPr="00936797">
        <w:rPr>
          <w:color w:val="000000" w:themeColor="text1"/>
          <w:szCs w:val="24"/>
          <w:lang w:eastAsia="zh-CN"/>
        </w:rPr>
        <w:t xml:space="preserve">Participants should investigate the particular local customs and quarantine requirements for the samples to be sent to their countries. If special permits are required, please inform the organizer. The organizer will not be responsible for any charges such as import taxes or related charges for the importation of the samples. </w:t>
      </w:r>
    </w:p>
    <w:p w14:paraId="7E626630" w14:textId="77777777" w:rsidR="00195161" w:rsidRPr="00195161" w:rsidRDefault="00195161">
      <w:pPr>
        <w:pStyle w:val="ae"/>
        <w:spacing w:line="360" w:lineRule="auto"/>
        <w:jc w:val="both"/>
        <w:rPr>
          <w:szCs w:val="24"/>
          <w:lang w:eastAsia="zh-CN"/>
        </w:rPr>
      </w:pPr>
    </w:p>
    <w:p w14:paraId="36A439BD" w14:textId="77777777" w:rsidR="00E95628" w:rsidRDefault="004759AF">
      <w:pPr>
        <w:pStyle w:val="ae"/>
        <w:spacing w:beforeLines="100" w:before="240" w:afterLines="50" w:after="120" w:line="360" w:lineRule="auto"/>
        <w:jc w:val="both"/>
        <w:rPr>
          <w:b/>
          <w:szCs w:val="24"/>
        </w:rPr>
      </w:pPr>
      <w:r>
        <w:rPr>
          <w:rFonts w:hint="eastAsia"/>
          <w:b/>
          <w:szCs w:val="24"/>
        </w:rPr>
        <w:t>Proposed s</w:t>
      </w:r>
      <w:r>
        <w:rPr>
          <w:b/>
          <w:szCs w:val="24"/>
        </w:rPr>
        <w:t>tudy schedule</w:t>
      </w:r>
    </w:p>
    <w:p w14:paraId="5547C64D" w14:textId="77777777" w:rsidR="00E95628" w:rsidRDefault="004759AF">
      <w:pPr>
        <w:widowControl/>
        <w:numPr>
          <w:ilvl w:val="1"/>
          <w:numId w:val="3"/>
        </w:numPr>
        <w:spacing w:line="360" w:lineRule="auto"/>
        <w:ind w:left="360"/>
        <w:jc w:val="left"/>
        <w:rPr>
          <w:rFonts w:eastAsia="Calibri"/>
          <w:sz w:val="24"/>
        </w:rPr>
      </w:pPr>
      <w:r>
        <w:rPr>
          <w:rFonts w:eastAsia="Calibri"/>
          <w:sz w:val="24"/>
        </w:rPr>
        <w:t>Call for participants</w:t>
      </w:r>
      <w:r>
        <w:rPr>
          <w:rFonts w:ascii="宋体" w:hAnsi="宋体" w:cs="宋体" w:hint="eastAsia"/>
          <w:sz w:val="24"/>
        </w:rPr>
        <w:t>：</w:t>
      </w:r>
      <w:r>
        <w:rPr>
          <w:rFonts w:hint="eastAsia"/>
          <w:sz w:val="24"/>
        </w:rPr>
        <w:t>1</w:t>
      </w:r>
      <w:r>
        <w:rPr>
          <w:sz w:val="24"/>
        </w:rPr>
        <w:t xml:space="preserve"> May</w:t>
      </w:r>
      <w:r>
        <w:rPr>
          <w:rFonts w:eastAsia="Calibri"/>
          <w:sz w:val="24"/>
        </w:rPr>
        <w:t>,</w:t>
      </w:r>
      <w:r>
        <w:rPr>
          <w:rFonts w:hint="eastAsia"/>
          <w:sz w:val="24"/>
        </w:rPr>
        <w:t xml:space="preserve"> </w:t>
      </w:r>
      <w:r>
        <w:rPr>
          <w:rFonts w:eastAsia="Calibri"/>
          <w:sz w:val="24"/>
        </w:rPr>
        <w:t>20</w:t>
      </w:r>
      <w:r>
        <w:rPr>
          <w:rFonts w:hint="eastAsia"/>
          <w:sz w:val="24"/>
        </w:rPr>
        <w:t>2</w:t>
      </w:r>
      <w:r>
        <w:rPr>
          <w:sz w:val="24"/>
        </w:rPr>
        <w:t>1</w:t>
      </w:r>
    </w:p>
    <w:p w14:paraId="3D8F4C1E" w14:textId="77777777" w:rsidR="00E95628" w:rsidRDefault="004759AF">
      <w:pPr>
        <w:widowControl/>
        <w:numPr>
          <w:ilvl w:val="1"/>
          <w:numId w:val="3"/>
        </w:numPr>
        <w:spacing w:line="360" w:lineRule="auto"/>
        <w:ind w:left="360"/>
        <w:jc w:val="left"/>
        <w:rPr>
          <w:rFonts w:eastAsia="Calibri"/>
          <w:sz w:val="24"/>
        </w:rPr>
      </w:pPr>
      <w:r>
        <w:rPr>
          <w:rFonts w:eastAsia="Calibri" w:hint="eastAsia"/>
          <w:sz w:val="24"/>
        </w:rPr>
        <w:t>D</w:t>
      </w:r>
      <w:r>
        <w:rPr>
          <w:rFonts w:eastAsia="Calibri"/>
          <w:sz w:val="24"/>
        </w:rPr>
        <w:t>eadline for registration</w:t>
      </w:r>
      <w:r>
        <w:rPr>
          <w:rFonts w:ascii="宋体" w:hAnsi="宋体" w:cs="宋体" w:hint="eastAsia"/>
          <w:sz w:val="24"/>
        </w:rPr>
        <w:t>：</w:t>
      </w:r>
      <w:r>
        <w:rPr>
          <w:rFonts w:hint="eastAsia"/>
          <w:sz w:val="24"/>
        </w:rPr>
        <w:t xml:space="preserve">31 </w:t>
      </w:r>
      <w:r>
        <w:rPr>
          <w:sz w:val="24"/>
        </w:rPr>
        <w:t>May</w:t>
      </w:r>
      <w:r>
        <w:rPr>
          <w:rFonts w:eastAsia="Calibri"/>
          <w:sz w:val="24"/>
        </w:rPr>
        <w:t>,</w:t>
      </w:r>
      <w:r>
        <w:rPr>
          <w:rFonts w:hint="eastAsia"/>
          <w:sz w:val="24"/>
        </w:rPr>
        <w:t xml:space="preserve"> </w:t>
      </w:r>
      <w:r>
        <w:rPr>
          <w:rFonts w:eastAsia="Calibri"/>
          <w:sz w:val="24"/>
        </w:rPr>
        <w:t>20</w:t>
      </w:r>
      <w:r>
        <w:rPr>
          <w:rFonts w:hint="eastAsia"/>
          <w:sz w:val="24"/>
        </w:rPr>
        <w:t>2</w:t>
      </w:r>
      <w:r>
        <w:rPr>
          <w:sz w:val="24"/>
        </w:rPr>
        <w:t>1</w:t>
      </w:r>
      <w:r>
        <w:rPr>
          <w:rFonts w:eastAsia="Calibri"/>
          <w:sz w:val="24"/>
        </w:rPr>
        <w:t xml:space="preserve"> </w:t>
      </w:r>
    </w:p>
    <w:p w14:paraId="3D67F410" w14:textId="77777777" w:rsidR="00E95628" w:rsidRDefault="004759AF">
      <w:pPr>
        <w:widowControl/>
        <w:numPr>
          <w:ilvl w:val="1"/>
          <w:numId w:val="3"/>
        </w:numPr>
        <w:spacing w:line="360" w:lineRule="auto"/>
        <w:ind w:left="360"/>
        <w:jc w:val="left"/>
        <w:rPr>
          <w:rFonts w:eastAsia="Calibri"/>
          <w:sz w:val="24"/>
        </w:rPr>
      </w:pPr>
      <w:r>
        <w:rPr>
          <w:rFonts w:eastAsia="Calibri"/>
          <w:sz w:val="24"/>
        </w:rPr>
        <w:t>Distribution of samples</w:t>
      </w:r>
      <w:r>
        <w:rPr>
          <w:rFonts w:ascii="宋体" w:hAnsi="宋体" w:cs="宋体" w:hint="eastAsia"/>
          <w:sz w:val="24"/>
        </w:rPr>
        <w:t>：</w:t>
      </w:r>
      <w:r>
        <w:rPr>
          <w:rFonts w:hint="eastAsia"/>
          <w:sz w:val="24"/>
        </w:rPr>
        <w:t>1 July</w:t>
      </w:r>
      <w:r>
        <w:rPr>
          <w:rFonts w:eastAsia="Calibri"/>
          <w:sz w:val="24"/>
        </w:rPr>
        <w:t>,</w:t>
      </w:r>
      <w:r>
        <w:rPr>
          <w:rFonts w:hint="eastAsia"/>
          <w:sz w:val="24"/>
        </w:rPr>
        <w:t xml:space="preserve"> </w:t>
      </w:r>
      <w:r>
        <w:rPr>
          <w:rFonts w:eastAsia="Calibri"/>
          <w:sz w:val="24"/>
        </w:rPr>
        <w:t>20</w:t>
      </w:r>
      <w:r>
        <w:rPr>
          <w:rFonts w:eastAsia="Calibri" w:hint="eastAsia"/>
          <w:sz w:val="24"/>
        </w:rPr>
        <w:t>21</w:t>
      </w:r>
    </w:p>
    <w:p w14:paraId="580AE97F" w14:textId="77777777" w:rsidR="00E95628" w:rsidRDefault="004759AF">
      <w:pPr>
        <w:widowControl/>
        <w:numPr>
          <w:ilvl w:val="1"/>
          <w:numId w:val="3"/>
        </w:numPr>
        <w:spacing w:line="360" w:lineRule="auto"/>
        <w:ind w:left="360"/>
        <w:jc w:val="left"/>
        <w:rPr>
          <w:rFonts w:eastAsia="Calibri"/>
          <w:sz w:val="24"/>
        </w:rPr>
      </w:pPr>
      <w:r>
        <w:rPr>
          <w:rFonts w:eastAsia="Calibri"/>
          <w:sz w:val="24"/>
        </w:rPr>
        <w:t>Submission of results</w:t>
      </w:r>
      <w:r>
        <w:rPr>
          <w:rFonts w:ascii="宋体" w:hAnsi="宋体" w:cs="宋体" w:hint="eastAsia"/>
          <w:sz w:val="24"/>
        </w:rPr>
        <w:t>：</w:t>
      </w:r>
      <w:r>
        <w:rPr>
          <w:rFonts w:hint="eastAsia"/>
          <w:kern w:val="0"/>
          <w:sz w:val="24"/>
          <w:szCs w:val="22"/>
        </w:rPr>
        <w:t>1</w:t>
      </w:r>
      <w:r>
        <w:rPr>
          <w:kern w:val="0"/>
          <w:sz w:val="24"/>
          <w:szCs w:val="22"/>
        </w:rPr>
        <w:t xml:space="preserve"> September</w:t>
      </w:r>
      <w:r>
        <w:rPr>
          <w:rFonts w:hint="eastAsia"/>
          <w:kern w:val="0"/>
          <w:sz w:val="24"/>
          <w:szCs w:val="22"/>
        </w:rPr>
        <w:t xml:space="preserve">, </w:t>
      </w:r>
      <w:r>
        <w:rPr>
          <w:kern w:val="0"/>
          <w:sz w:val="24"/>
          <w:szCs w:val="22"/>
          <w:lang w:eastAsia="en-US"/>
        </w:rPr>
        <w:t>2021</w:t>
      </w:r>
    </w:p>
    <w:p w14:paraId="35AC8541" w14:textId="77777777" w:rsidR="00E95628" w:rsidRDefault="004759AF">
      <w:pPr>
        <w:widowControl/>
        <w:numPr>
          <w:ilvl w:val="1"/>
          <w:numId w:val="3"/>
        </w:numPr>
        <w:spacing w:line="360" w:lineRule="auto"/>
        <w:ind w:left="360"/>
        <w:jc w:val="left"/>
        <w:rPr>
          <w:rFonts w:eastAsia="Calibri"/>
          <w:sz w:val="24"/>
        </w:rPr>
      </w:pPr>
      <w:r>
        <w:rPr>
          <w:rFonts w:eastAsia="Calibri"/>
          <w:sz w:val="24"/>
        </w:rPr>
        <w:t>Release of the draft final report for comment</w:t>
      </w:r>
      <w:r>
        <w:rPr>
          <w:rFonts w:ascii="宋体" w:hAnsi="宋体" w:cs="宋体" w:hint="eastAsia"/>
          <w:sz w:val="24"/>
        </w:rPr>
        <w:t>：</w:t>
      </w:r>
      <w:r>
        <w:rPr>
          <w:rFonts w:hint="eastAsia"/>
          <w:sz w:val="24"/>
        </w:rPr>
        <w:t>202</w:t>
      </w:r>
      <w:r>
        <w:rPr>
          <w:sz w:val="24"/>
        </w:rPr>
        <w:t>2</w:t>
      </w:r>
    </w:p>
    <w:p w14:paraId="3680D978" w14:textId="77777777" w:rsidR="00E95628" w:rsidRDefault="004759AF">
      <w:pPr>
        <w:pStyle w:val="ae"/>
        <w:spacing w:beforeLines="100" w:before="240" w:afterLines="50" w:after="120" w:line="360" w:lineRule="auto"/>
        <w:jc w:val="both"/>
        <w:rPr>
          <w:b/>
          <w:szCs w:val="24"/>
        </w:rPr>
      </w:pPr>
      <w:r>
        <w:rPr>
          <w:b/>
          <w:szCs w:val="24"/>
        </w:rPr>
        <w:t>Contact information</w:t>
      </w:r>
    </w:p>
    <w:p w14:paraId="082395AE" w14:textId="77777777" w:rsidR="00E95628" w:rsidRDefault="004759AF">
      <w:pPr>
        <w:pStyle w:val="ae"/>
        <w:spacing w:beforeLines="50" w:before="120" w:afterLines="50" w:after="120" w:line="360" w:lineRule="auto"/>
        <w:jc w:val="both"/>
        <w:rPr>
          <w:szCs w:val="24"/>
          <w:lang w:eastAsia="zh-CN"/>
        </w:rPr>
      </w:pPr>
      <w:r>
        <w:rPr>
          <w:szCs w:val="24"/>
          <w:lang w:eastAsia="zh-CN"/>
        </w:rPr>
        <w:t>For enquiries, participants may wish to make contacts as follows</w:t>
      </w:r>
      <w:r>
        <w:rPr>
          <w:rFonts w:hint="eastAsia"/>
          <w:szCs w:val="24"/>
          <w:lang w:eastAsia="zh-CN"/>
        </w:rPr>
        <w:t>:</w:t>
      </w:r>
    </w:p>
    <w:p w14:paraId="5831F9D1" w14:textId="77777777" w:rsidR="00E95628" w:rsidRDefault="004759AF">
      <w:pPr>
        <w:widowControl/>
        <w:spacing w:line="360" w:lineRule="auto"/>
        <w:rPr>
          <w:color w:val="0000FF"/>
          <w:kern w:val="0"/>
          <w:sz w:val="24"/>
          <w:szCs w:val="22"/>
          <w:u w:val="single"/>
        </w:rPr>
      </w:pPr>
      <w:r>
        <w:rPr>
          <w:kern w:val="0"/>
          <w:sz w:val="24"/>
          <w:szCs w:val="22"/>
        </w:rPr>
        <w:t>Dr. Li Xiuqin</w:t>
      </w:r>
      <w:r>
        <w:rPr>
          <w:rFonts w:hint="eastAsia"/>
          <w:kern w:val="0"/>
          <w:sz w:val="24"/>
          <w:szCs w:val="22"/>
        </w:rPr>
        <w:t>, NIM,</w:t>
      </w:r>
      <w:r>
        <w:rPr>
          <w:kern w:val="0"/>
          <w:sz w:val="24"/>
          <w:szCs w:val="22"/>
        </w:rPr>
        <w:t xml:space="preserve"> </w:t>
      </w:r>
      <w:hyperlink r:id="rId10" w:history="1">
        <w:r>
          <w:rPr>
            <w:color w:val="0000FF"/>
            <w:kern w:val="0"/>
            <w:sz w:val="24"/>
            <w:szCs w:val="22"/>
            <w:u w:val="single"/>
          </w:rPr>
          <w:t>lixq@nim.ac.cn</w:t>
        </w:r>
      </w:hyperlink>
    </w:p>
    <w:p w14:paraId="1049BD51" w14:textId="77777777" w:rsidR="00E95628" w:rsidRDefault="004759AF">
      <w:pPr>
        <w:widowControl/>
        <w:spacing w:line="360" w:lineRule="auto"/>
        <w:rPr>
          <w:color w:val="0000FF"/>
          <w:kern w:val="0"/>
          <w:sz w:val="24"/>
          <w:szCs w:val="22"/>
          <w:u w:val="single"/>
        </w:rPr>
      </w:pPr>
      <w:r>
        <w:rPr>
          <w:rFonts w:hint="eastAsia"/>
          <w:kern w:val="0"/>
          <w:sz w:val="24"/>
          <w:szCs w:val="22"/>
        </w:rPr>
        <w:t xml:space="preserve">Ms. Jiao Hui, NIM, </w:t>
      </w:r>
      <w:r>
        <w:rPr>
          <w:rFonts w:hint="eastAsia"/>
          <w:color w:val="0000FF"/>
          <w:kern w:val="0"/>
          <w:sz w:val="24"/>
          <w:szCs w:val="22"/>
          <w:u w:val="single"/>
        </w:rPr>
        <w:t>jiaohui@nim.ac.cn</w:t>
      </w:r>
    </w:p>
    <w:p w14:paraId="605C131B" w14:textId="77777777" w:rsidR="00E95628" w:rsidRPr="00A65AA3" w:rsidRDefault="00E95628">
      <w:pPr>
        <w:spacing w:line="360" w:lineRule="auto"/>
      </w:pPr>
    </w:p>
    <w:p w14:paraId="4755DCD5" w14:textId="6B802F3D" w:rsidR="00E95628" w:rsidRDefault="004759AF">
      <w:pPr>
        <w:spacing w:line="360" w:lineRule="auto"/>
      </w:pPr>
      <w:r>
        <w:t>References:</w:t>
      </w:r>
    </w:p>
    <w:p w14:paraId="2FA137AA" w14:textId="5E1D5CE9" w:rsidR="005907D6" w:rsidRDefault="005907D6">
      <w:pPr>
        <w:spacing w:line="360" w:lineRule="auto"/>
      </w:pPr>
      <w:r>
        <w:rPr>
          <w:rFonts w:hint="eastAsia"/>
        </w:rPr>
        <w:t>[</w:t>
      </w:r>
      <w:r>
        <w:t xml:space="preserve">1] ISO Guide 35:2017, </w:t>
      </w:r>
      <w:r w:rsidRPr="005907D6">
        <w:t>Reference materials — Guidance for characterization and assessment of homogeneity and stability</w:t>
      </w:r>
      <w:r>
        <w:t>. International Standards Organization, Geneva, Switzerland, 2017.</w:t>
      </w:r>
    </w:p>
    <w:p w14:paraId="4405B20B" w14:textId="61F18447" w:rsidR="00E95628" w:rsidRDefault="004759AF">
      <w:pPr>
        <w:spacing w:line="360" w:lineRule="auto"/>
      </w:pPr>
      <w:r>
        <w:rPr>
          <w:rFonts w:hint="eastAsia"/>
        </w:rPr>
        <w:t>[</w:t>
      </w:r>
      <w:r w:rsidR="005907D6">
        <w:t>2</w:t>
      </w:r>
      <w:r>
        <w:t>] ISO 13528:2015, Statistical methods for use in proficiency testing by interlaboratory comparison. International Standards Organization, Geneva, Switzerland, 201</w:t>
      </w:r>
      <w:r>
        <w:rPr>
          <w:rFonts w:hint="eastAsia"/>
        </w:rPr>
        <w:t>5</w:t>
      </w:r>
      <w:r>
        <w:t>.</w:t>
      </w:r>
    </w:p>
    <w:p w14:paraId="298C2198" w14:textId="096C899D" w:rsidR="00E95628" w:rsidRDefault="004759AF">
      <w:pPr>
        <w:spacing w:line="360" w:lineRule="auto"/>
      </w:pPr>
      <w:r>
        <w:rPr>
          <w:rFonts w:hint="eastAsia"/>
        </w:rPr>
        <w:t>[</w:t>
      </w:r>
      <w:r w:rsidR="005907D6">
        <w:t>3</w:t>
      </w:r>
      <w:r>
        <w:t>] ISO/IEC 17043:2010, Conformity assessment — General requirements for proficiency testing. International Standards Organization, Geneva, Switzerland, 2010.</w:t>
      </w:r>
    </w:p>
    <w:p w14:paraId="0A3F4E75" w14:textId="77777777" w:rsidR="00936797" w:rsidRDefault="00936797">
      <w:pPr>
        <w:spacing w:line="360" w:lineRule="auto"/>
      </w:pPr>
    </w:p>
    <w:sectPr w:rsidR="00936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3114" w14:textId="77777777" w:rsidR="00DF0238" w:rsidRDefault="00DF0238" w:rsidP="0094222F">
      <w:r>
        <w:separator/>
      </w:r>
    </w:p>
  </w:endnote>
  <w:endnote w:type="continuationSeparator" w:id="0">
    <w:p w14:paraId="4C2B7B42" w14:textId="77777777" w:rsidR="00DF0238" w:rsidRDefault="00DF0238" w:rsidP="0094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Arial"/>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FF78" w14:textId="77777777" w:rsidR="00DF0238" w:rsidRDefault="00DF0238" w:rsidP="0094222F">
      <w:r>
        <w:separator/>
      </w:r>
    </w:p>
  </w:footnote>
  <w:footnote w:type="continuationSeparator" w:id="0">
    <w:p w14:paraId="4EEBC8D1" w14:textId="77777777" w:rsidR="00DF0238" w:rsidRDefault="00DF0238" w:rsidP="00942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6A6"/>
    <w:multiLevelType w:val="multilevel"/>
    <w:tmpl w:val="0D2C06A6"/>
    <w:lvl w:ilvl="0">
      <w:start w:val="1"/>
      <w:numFmt w:val="decimal"/>
      <w:pStyle w:val="1"/>
      <w:lvlText w:val="%1.0"/>
      <w:lvlJc w:val="left"/>
      <w:pPr>
        <w:tabs>
          <w:tab w:val="left" w:pos="720"/>
        </w:tabs>
        <w:ind w:left="720" w:hanging="720"/>
      </w:pPr>
      <w:rPr>
        <w:rFonts w:cs="Times New Roman" w:hint="default"/>
      </w:rPr>
    </w:lvl>
    <w:lvl w:ilvl="1">
      <w:start w:val="1"/>
      <w:numFmt w:val="decimal"/>
      <w:lvlText w:val="%1.%2"/>
      <w:lvlJc w:val="left"/>
      <w:pPr>
        <w:tabs>
          <w:tab w:val="left" w:pos="1440"/>
        </w:tabs>
        <w:ind w:left="1440" w:hanging="720"/>
      </w:pPr>
      <w:rPr>
        <w:rFonts w:cs="Times New Roman" w:hint="default"/>
      </w:rPr>
    </w:lvl>
    <w:lvl w:ilvl="2">
      <w:start w:val="1"/>
      <w:numFmt w:val="decimal"/>
      <w:lvlText w:val="%1.%2.%3"/>
      <w:lvlJc w:val="left"/>
      <w:pPr>
        <w:tabs>
          <w:tab w:val="left" w:pos="2160"/>
        </w:tabs>
        <w:ind w:left="2160" w:hanging="720"/>
      </w:pPr>
      <w:rPr>
        <w:rFonts w:cs="Times New Roman" w:hint="default"/>
      </w:rPr>
    </w:lvl>
    <w:lvl w:ilvl="3">
      <w:start w:val="1"/>
      <w:numFmt w:val="decimal"/>
      <w:lvlText w:val="%1.%2.%3.%4"/>
      <w:lvlJc w:val="left"/>
      <w:pPr>
        <w:tabs>
          <w:tab w:val="left" w:pos="3240"/>
        </w:tabs>
        <w:ind w:left="3240" w:hanging="1080"/>
      </w:pPr>
      <w:rPr>
        <w:rFonts w:cs="Times New Roman" w:hint="default"/>
      </w:rPr>
    </w:lvl>
    <w:lvl w:ilvl="4">
      <w:start w:val="1"/>
      <w:numFmt w:val="decimal"/>
      <w:lvlText w:val="%1.%2.%3.%4.%5"/>
      <w:lvlJc w:val="left"/>
      <w:pPr>
        <w:tabs>
          <w:tab w:val="left" w:pos="4320"/>
        </w:tabs>
        <w:ind w:left="4320" w:hanging="1440"/>
      </w:pPr>
      <w:rPr>
        <w:rFonts w:cs="Times New Roman" w:hint="default"/>
      </w:rPr>
    </w:lvl>
    <w:lvl w:ilvl="5">
      <w:start w:val="1"/>
      <w:numFmt w:val="decimal"/>
      <w:lvlText w:val="%1.%2.%3.%4.%5.%6"/>
      <w:lvlJc w:val="left"/>
      <w:pPr>
        <w:tabs>
          <w:tab w:val="left" w:pos="5400"/>
        </w:tabs>
        <w:ind w:left="5400" w:hanging="1800"/>
      </w:pPr>
      <w:rPr>
        <w:rFonts w:cs="Times New Roman" w:hint="default"/>
      </w:rPr>
    </w:lvl>
    <w:lvl w:ilvl="6">
      <w:start w:val="1"/>
      <w:numFmt w:val="decimal"/>
      <w:lvlText w:val="%1.%2.%3.%4.%5.%6.%7"/>
      <w:lvlJc w:val="left"/>
      <w:pPr>
        <w:tabs>
          <w:tab w:val="left" w:pos="6120"/>
        </w:tabs>
        <w:ind w:left="6120" w:hanging="1800"/>
      </w:pPr>
      <w:rPr>
        <w:rFonts w:cs="Times New Roman" w:hint="default"/>
      </w:rPr>
    </w:lvl>
    <w:lvl w:ilvl="7">
      <w:start w:val="1"/>
      <w:numFmt w:val="decimal"/>
      <w:lvlText w:val="%1.%2.%3.%4.%5.%6.%7.%8"/>
      <w:lvlJc w:val="left"/>
      <w:pPr>
        <w:tabs>
          <w:tab w:val="left" w:pos="7200"/>
        </w:tabs>
        <w:ind w:left="7200" w:hanging="2160"/>
      </w:pPr>
      <w:rPr>
        <w:rFonts w:cs="Times New Roman" w:hint="default"/>
      </w:rPr>
    </w:lvl>
    <w:lvl w:ilvl="8">
      <w:start w:val="1"/>
      <w:numFmt w:val="decimal"/>
      <w:lvlText w:val="%1.%2.%3.%4.%5.%6.%7.%8.%9"/>
      <w:lvlJc w:val="left"/>
      <w:pPr>
        <w:tabs>
          <w:tab w:val="left" w:pos="8280"/>
        </w:tabs>
        <w:ind w:left="8280" w:hanging="2520"/>
      </w:pPr>
      <w:rPr>
        <w:rFonts w:cs="Times New Roman" w:hint="default"/>
      </w:rPr>
    </w:lvl>
  </w:abstractNum>
  <w:abstractNum w:abstractNumId="1" w15:restartNumberingAfterBreak="0">
    <w:nsid w:val="43B82482"/>
    <w:multiLevelType w:val="multilevel"/>
    <w:tmpl w:val="43B82482"/>
    <w:lvl w:ilvl="0">
      <w:start w:val="1"/>
      <w:numFmt w:val="bullet"/>
      <w:lvlText w:val=""/>
      <w:lvlJc w:val="left"/>
      <w:pPr>
        <w:ind w:left="720" w:hanging="360"/>
      </w:pPr>
      <w:rPr>
        <w:rFonts w:ascii="Symbol" w:hAnsi="Symbol" w:hint="default"/>
        <w:color w:val="000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9F25A8"/>
    <w:multiLevelType w:val="multilevel"/>
    <w:tmpl w:val="459F25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55"/>
    <w:rsid w:val="000049BA"/>
    <w:rsid w:val="001511E2"/>
    <w:rsid w:val="00195161"/>
    <w:rsid w:val="001B5CF5"/>
    <w:rsid w:val="001B6F51"/>
    <w:rsid w:val="001E2837"/>
    <w:rsid w:val="00224CD8"/>
    <w:rsid w:val="00233B6D"/>
    <w:rsid w:val="00234BE9"/>
    <w:rsid w:val="00284D8E"/>
    <w:rsid w:val="002D27EE"/>
    <w:rsid w:val="002F7302"/>
    <w:rsid w:val="00380957"/>
    <w:rsid w:val="003A57EF"/>
    <w:rsid w:val="003B7421"/>
    <w:rsid w:val="00411F2B"/>
    <w:rsid w:val="00412FFD"/>
    <w:rsid w:val="004545B9"/>
    <w:rsid w:val="004573A6"/>
    <w:rsid w:val="004759AF"/>
    <w:rsid w:val="00485FF0"/>
    <w:rsid w:val="004D4781"/>
    <w:rsid w:val="00507636"/>
    <w:rsid w:val="005907D6"/>
    <w:rsid w:val="005951A6"/>
    <w:rsid w:val="00603BE1"/>
    <w:rsid w:val="00637617"/>
    <w:rsid w:val="00646619"/>
    <w:rsid w:val="006C5360"/>
    <w:rsid w:val="0070405E"/>
    <w:rsid w:val="007702EB"/>
    <w:rsid w:val="0082494A"/>
    <w:rsid w:val="00864C30"/>
    <w:rsid w:val="008B4998"/>
    <w:rsid w:val="008F2553"/>
    <w:rsid w:val="008F2E55"/>
    <w:rsid w:val="00936797"/>
    <w:rsid w:val="0094222F"/>
    <w:rsid w:val="009D2098"/>
    <w:rsid w:val="009F5CA8"/>
    <w:rsid w:val="00A331B8"/>
    <w:rsid w:val="00A639EC"/>
    <w:rsid w:val="00A65AA3"/>
    <w:rsid w:val="00BD2449"/>
    <w:rsid w:val="00C21127"/>
    <w:rsid w:val="00C4721A"/>
    <w:rsid w:val="00C608DD"/>
    <w:rsid w:val="00CB38A2"/>
    <w:rsid w:val="00CB68C8"/>
    <w:rsid w:val="00CE056A"/>
    <w:rsid w:val="00D04C12"/>
    <w:rsid w:val="00DE38A6"/>
    <w:rsid w:val="00DF0238"/>
    <w:rsid w:val="00DF268E"/>
    <w:rsid w:val="00DF6557"/>
    <w:rsid w:val="00E8631E"/>
    <w:rsid w:val="00E95628"/>
    <w:rsid w:val="00F0205B"/>
    <w:rsid w:val="00F572A9"/>
    <w:rsid w:val="00F916A2"/>
    <w:rsid w:val="00FB28F9"/>
    <w:rsid w:val="00FC72EB"/>
    <w:rsid w:val="00FE4B5A"/>
    <w:rsid w:val="02016BDB"/>
    <w:rsid w:val="03AF60F7"/>
    <w:rsid w:val="085C21A5"/>
    <w:rsid w:val="12C37C93"/>
    <w:rsid w:val="19EB40D0"/>
    <w:rsid w:val="25A05AAE"/>
    <w:rsid w:val="29D36AAE"/>
    <w:rsid w:val="37031A79"/>
    <w:rsid w:val="60DF1255"/>
    <w:rsid w:val="627859C1"/>
    <w:rsid w:val="62950E84"/>
    <w:rsid w:val="6E421306"/>
    <w:rsid w:val="790A44EE"/>
    <w:rsid w:val="7E470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E803"/>
  <w15:docId w15:val="{7F1ED193-3D49-4231-B7B2-A4D48753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pPr>
      <w:keepNext/>
      <w:widowControl/>
      <w:numPr>
        <w:numId w:val="1"/>
      </w:numPr>
      <w:spacing w:before="240" w:after="60"/>
      <w:jc w:val="left"/>
      <w:outlineLvl w:val="0"/>
    </w:pPr>
    <w:rPr>
      <w:rFonts w:ascii="Arial" w:eastAsiaTheme="minorEastAsia"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spacing w:line="360" w:lineRule="atLeast"/>
      <w:ind w:right="1085"/>
      <w:textAlignment w:val="baseline"/>
    </w:pPr>
    <w:rPr>
      <w:rFonts w:cs="Arial"/>
      <w:kern w:val="0"/>
      <w:sz w:val="22"/>
      <w:szCs w:val="22"/>
      <w:lang w:val="en-GB" w:eastAsia="de-DE"/>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Subtitle"/>
    <w:basedOn w:val="a"/>
    <w:qFormat/>
    <w:pPr>
      <w:widowControl/>
      <w:jc w:val="left"/>
    </w:pPr>
    <w:rPr>
      <w:b/>
      <w:kern w:val="0"/>
      <w:sz w:val="24"/>
      <w:szCs w:val="20"/>
      <w:lang w:val="en-GB" w:eastAsia="en-GB"/>
    </w:rPr>
  </w:style>
  <w:style w:type="paragraph" w:styleId="ab">
    <w:name w:val="Normal (Web)"/>
    <w:basedOn w:val="a"/>
    <w:uiPriority w:val="99"/>
    <w:semiHidden/>
    <w:unhideWhenUsed/>
    <w:qFormat/>
    <w:rPr>
      <w:sz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563C1" w:themeColor="hyperlink"/>
      <w:u w:val="single"/>
    </w:rPr>
  </w:style>
  <w:style w:type="paragraph" w:styleId="ae">
    <w:name w:val="No Spacing"/>
    <w:qFormat/>
    <w:rPr>
      <w:rFonts w:eastAsiaTheme="minorEastAsia" w:cstheme="minorBidi"/>
      <w:sz w:val="24"/>
      <w:szCs w:val="22"/>
      <w:lang w:eastAsia="en-US"/>
    </w:rPr>
  </w:style>
  <w:style w:type="paragraph" w:customStyle="1" w:styleId="Titre10">
    <w:name w:val="Titre 1.0"/>
    <w:basedOn w:val="1"/>
    <w:qFormat/>
    <w:pPr>
      <w:spacing w:before="480" w:after="120"/>
    </w:pPr>
    <w:rPr>
      <w:rFonts w:asciiTheme="minorHAnsi" w:hAnsiTheme="minorHAnsi"/>
      <w:lang w:val="en-CA"/>
    </w:rPr>
  </w:style>
  <w:style w:type="paragraph" w:customStyle="1" w:styleId="Textenormal1">
    <w:name w:val="Texte normal 1"/>
    <w:basedOn w:val="ab"/>
    <w:qFormat/>
    <w:pPr>
      <w:widowControl/>
      <w:spacing w:before="240" w:after="240"/>
    </w:pPr>
    <w:rPr>
      <w:rFonts w:asciiTheme="minorHAnsi" w:eastAsiaTheme="minorEastAsia" w:hAnsiTheme="minorHAnsi"/>
      <w:kern w:val="0"/>
      <w:lang w:eastAsia="fr-CA"/>
    </w:r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qFormat/>
    <w:rPr>
      <w:kern w:val="2"/>
      <w:sz w:val="18"/>
      <w:szCs w:val="18"/>
    </w:rPr>
  </w:style>
  <w:style w:type="character" w:styleId="af">
    <w:name w:val="annotation reference"/>
    <w:basedOn w:val="a0"/>
    <w:rsid w:val="00A331B8"/>
    <w:rPr>
      <w:sz w:val="21"/>
      <w:szCs w:val="21"/>
    </w:rPr>
  </w:style>
  <w:style w:type="paragraph" w:styleId="af0">
    <w:name w:val="annotation text"/>
    <w:basedOn w:val="a"/>
    <w:link w:val="af1"/>
    <w:rsid w:val="00A331B8"/>
    <w:pPr>
      <w:jc w:val="left"/>
    </w:pPr>
  </w:style>
  <w:style w:type="character" w:customStyle="1" w:styleId="af1">
    <w:name w:val="批注文字 字符"/>
    <w:basedOn w:val="a0"/>
    <w:link w:val="af0"/>
    <w:rsid w:val="00A331B8"/>
    <w:rPr>
      <w:kern w:val="2"/>
      <w:sz w:val="21"/>
      <w:szCs w:val="24"/>
    </w:rPr>
  </w:style>
  <w:style w:type="paragraph" w:styleId="af2">
    <w:name w:val="annotation subject"/>
    <w:basedOn w:val="af0"/>
    <w:next w:val="af0"/>
    <w:link w:val="af3"/>
    <w:rsid w:val="00A331B8"/>
    <w:rPr>
      <w:b/>
      <w:bCs/>
    </w:rPr>
  </w:style>
  <w:style w:type="character" w:customStyle="1" w:styleId="af3">
    <w:name w:val="批注主题 字符"/>
    <w:basedOn w:val="af1"/>
    <w:link w:val="af2"/>
    <w:rsid w:val="00A331B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xq@nim.ac.c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qio</cp:lastModifiedBy>
  <cp:revision>36</cp:revision>
  <dcterms:created xsi:type="dcterms:W3CDTF">2021-01-15T03:36:00Z</dcterms:created>
  <dcterms:modified xsi:type="dcterms:W3CDTF">2021-03-15T02:36:00Z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